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0" w:type="auto"/>
        <w:tblLook w:val="04A0" w:firstRow="1" w:lastRow="0" w:firstColumn="1" w:lastColumn="0" w:noHBand="0" w:noVBand="1"/>
      </w:tblPr>
      <w:tblGrid>
        <w:gridCol w:w="8101"/>
      </w:tblGrid>
      <w:tr w:rsidR="002B7F49" w14:paraId="7DC28AC0" w14:textId="77777777" w:rsidTr="00113B58">
        <w:trPr>
          <w:trHeight w:val="1075"/>
        </w:trPr>
        <w:tc>
          <w:tcPr>
            <w:tcW w:w="8101" w:type="dxa"/>
            <w:shd w:val="clear" w:color="auto" w:fill="auto"/>
            <w:vAlign w:val="bottom"/>
          </w:tcPr>
          <w:p w14:paraId="55F39C5D" w14:textId="417DD7DA" w:rsidR="002B7F49" w:rsidRPr="00495B8A" w:rsidRDefault="002B7F49" w:rsidP="008343C5">
            <w:pPr>
              <w:pStyle w:val="DHHSmainheading"/>
              <w:spacing w:line="270" w:lineRule="atLeast"/>
              <w:rPr>
                <w:noProof/>
                <w:color w:val="FFFFFF" w:themeColor="background1"/>
                <w:sz w:val="44"/>
                <w:szCs w:val="40"/>
                <w:lang w:eastAsia="en-AU"/>
              </w:rPr>
            </w:pPr>
            <w:bookmarkStart w:id="0" w:name="_GoBack"/>
            <w:bookmarkEnd w:id="0"/>
            <w:r w:rsidRPr="00D537C0">
              <w:rPr>
                <w:noProof/>
                <w:color w:val="FFFFFF" w:themeColor="background1"/>
                <w:sz w:val="44"/>
                <w:szCs w:val="40"/>
                <w:lang w:eastAsia="en-AU"/>
              </w:rPr>
              <w:drawing>
                <wp:anchor distT="0" distB="0" distL="114300" distR="114300" simplePos="0" relativeHeight="251658240" behindDoc="1" locked="1" layoutInCell="0" allowOverlap="1" wp14:anchorId="2A239CD1" wp14:editId="5E309CDE">
                  <wp:simplePos x="0" y="0"/>
                  <wp:positionH relativeFrom="page">
                    <wp:posOffset>-540385</wp:posOffset>
                  </wp:positionH>
                  <wp:positionV relativeFrom="page">
                    <wp:posOffset>-360680</wp:posOffset>
                  </wp:positionV>
                  <wp:extent cx="7562850" cy="2476500"/>
                  <wp:effectExtent l="0" t="0" r="0" b="0"/>
                  <wp:wrapNone/>
                  <wp:docPr id="52" name="Picture 5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2850" cy="2476500"/>
                          </a:xfrm>
                          <a:prstGeom prst="rect">
                            <a:avLst/>
                          </a:prstGeom>
                          <a:noFill/>
                        </pic:spPr>
                      </pic:pic>
                    </a:graphicData>
                  </a:graphic>
                  <wp14:sizeRelH relativeFrom="page">
                    <wp14:pctWidth>0</wp14:pctWidth>
                  </wp14:sizeRelH>
                  <wp14:sizeRelV relativeFrom="page">
                    <wp14:pctHeight>0</wp14:pctHeight>
                  </wp14:sizeRelV>
                </wp:anchor>
              </w:drawing>
            </w:r>
            <w:r w:rsidR="003204AD" w:rsidRPr="00D537C0">
              <w:rPr>
                <w:noProof/>
                <w:color w:val="FFFFFF" w:themeColor="background1"/>
                <w:sz w:val="44"/>
                <w:szCs w:val="40"/>
                <w:lang w:eastAsia="en-AU"/>
              </w:rPr>
              <w:t>Home and Community Care</w:t>
            </w:r>
            <w:r w:rsidR="00C6002A">
              <w:rPr>
                <w:noProof/>
                <w:color w:val="FFFFFF" w:themeColor="background1"/>
                <w:sz w:val="44"/>
                <w:szCs w:val="40"/>
                <w:lang w:eastAsia="en-AU"/>
              </w:rPr>
              <w:t xml:space="preserve"> Program for Younger People</w:t>
            </w:r>
            <w:r w:rsidR="00495B8A">
              <w:rPr>
                <w:noProof/>
                <w:color w:val="FFFFFF" w:themeColor="background1"/>
                <w:sz w:val="44"/>
                <w:szCs w:val="40"/>
                <w:lang w:eastAsia="en-AU"/>
              </w:rPr>
              <w:t xml:space="preserve"> – </w:t>
            </w:r>
            <w:r w:rsidR="00D70802" w:rsidRPr="00D537C0">
              <w:rPr>
                <w:noProof/>
                <w:color w:val="FFFFFF" w:themeColor="background1"/>
                <w:sz w:val="44"/>
                <w:szCs w:val="40"/>
                <w:lang w:eastAsia="en-AU"/>
              </w:rPr>
              <w:t>Access and Support</w:t>
            </w:r>
            <w:r w:rsidR="007C33F5" w:rsidRPr="00D537C0">
              <w:rPr>
                <w:rFonts w:cs="Arial"/>
                <w:noProof/>
                <w:sz w:val="44"/>
                <w:szCs w:val="44"/>
              </w:rPr>
              <w:t xml:space="preserve"> </w:t>
            </w:r>
            <w:r w:rsidRPr="00D537C0">
              <w:rPr>
                <w:rFonts w:cs="Arial"/>
                <w:noProof/>
                <w:sz w:val="44"/>
                <w:szCs w:val="44"/>
              </w:rPr>
              <w:t>13</w:t>
            </w:r>
            <w:r w:rsidR="00D70802" w:rsidRPr="00D537C0">
              <w:rPr>
                <w:rFonts w:cs="Arial"/>
                <w:noProof/>
                <w:sz w:val="44"/>
                <w:szCs w:val="44"/>
              </w:rPr>
              <w:t>229</w:t>
            </w:r>
          </w:p>
        </w:tc>
      </w:tr>
      <w:tr w:rsidR="002B7F49" w14:paraId="5A96F461" w14:textId="77777777" w:rsidTr="00113B58">
        <w:tc>
          <w:tcPr>
            <w:tcW w:w="8101" w:type="dxa"/>
            <w:shd w:val="clear" w:color="auto" w:fill="auto"/>
            <w:tcMar>
              <w:top w:w="170" w:type="dxa"/>
              <w:bottom w:w="510" w:type="dxa"/>
            </w:tcMar>
          </w:tcPr>
          <w:p w14:paraId="2B51E854" w14:textId="77777777" w:rsidR="002B7F49" w:rsidRPr="00730DE2" w:rsidRDefault="002B7F49" w:rsidP="00113B58">
            <w:pPr>
              <w:pStyle w:val="DHHSmainsubheading"/>
              <w:rPr>
                <w:szCs w:val="28"/>
              </w:rPr>
            </w:pPr>
            <w:r w:rsidRPr="00730DE2">
              <w:rPr>
                <w:szCs w:val="28"/>
              </w:rPr>
              <w:t xml:space="preserve">Outcome objective: Victorians are healthy and well </w:t>
            </w:r>
          </w:p>
          <w:p w14:paraId="004AACAC" w14:textId="77777777" w:rsidR="002B7F49" w:rsidRPr="00730DE2" w:rsidRDefault="002B7F49" w:rsidP="00113B58">
            <w:pPr>
              <w:pStyle w:val="DHHSmainsubheading"/>
              <w:rPr>
                <w:szCs w:val="28"/>
              </w:rPr>
            </w:pPr>
            <w:r w:rsidRPr="00730DE2">
              <w:rPr>
                <w:szCs w:val="28"/>
              </w:rPr>
              <w:t xml:space="preserve">Output group: </w:t>
            </w:r>
            <w:r w:rsidRPr="00730DE2">
              <w:rPr>
                <w:noProof/>
                <w:szCs w:val="28"/>
              </w:rPr>
              <w:t>Aged and Home Care</w:t>
            </w:r>
          </w:p>
          <w:p w14:paraId="781AD3BC" w14:textId="77777777" w:rsidR="002B7F49" w:rsidRDefault="002B7F49" w:rsidP="00113B58">
            <w:pPr>
              <w:pStyle w:val="DHHSmainsubheading"/>
              <w:rPr>
                <w:noProof/>
                <w:szCs w:val="28"/>
              </w:rPr>
            </w:pPr>
            <w:r w:rsidRPr="00730DE2">
              <w:rPr>
                <w:szCs w:val="28"/>
              </w:rPr>
              <w:t xml:space="preserve">Output: </w:t>
            </w:r>
            <w:r w:rsidRPr="00730DE2">
              <w:rPr>
                <w:noProof/>
                <w:szCs w:val="28"/>
              </w:rPr>
              <w:t>HACC primary health, community care and support</w:t>
            </w:r>
          </w:p>
          <w:p w14:paraId="4BCEE0E8" w14:textId="13CE9AF1" w:rsidR="00495B8A" w:rsidRPr="00AD784C" w:rsidRDefault="00495B8A" w:rsidP="00113B58">
            <w:pPr>
              <w:pStyle w:val="DHHSmainsubheading"/>
              <w:rPr>
                <w:szCs w:val="28"/>
              </w:rPr>
            </w:pPr>
          </w:p>
        </w:tc>
      </w:tr>
    </w:tbl>
    <w:p w14:paraId="6C2A1C21" w14:textId="77777777" w:rsidR="002B7F49" w:rsidRPr="002A2A58" w:rsidRDefault="00113B58" w:rsidP="00943F0D">
      <w:pPr>
        <w:pStyle w:val="Heading1"/>
      </w:pPr>
      <w:r>
        <w:br w:type="textWrapping" w:clear="all"/>
      </w:r>
      <w:r w:rsidR="002B7F49" w:rsidRPr="002A2A58">
        <w:t xml:space="preserve">1. Service Objective </w:t>
      </w:r>
    </w:p>
    <w:p w14:paraId="26861799" w14:textId="77777777" w:rsidR="000219B7" w:rsidRDefault="000219B7" w:rsidP="000219B7">
      <w:pPr>
        <w:pStyle w:val="DHHSbody"/>
        <w:spacing w:beforeLines="40" w:before="96"/>
        <w:rPr>
          <w:rFonts w:eastAsia="Times New Roman"/>
          <w:lang w:eastAsia="en-AU"/>
        </w:rPr>
      </w:pPr>
      <w:bookmarkStart w:id="1" w:name="_Hlk5635703"/>
      <w:r w:rsidRPr="002A2A58">
        <w:rPr>
          <w:rFonts w:eastAsia="Times New Roman"/>
          <w:lang w:eastAsia="en-AU"/>
        </w:rPr>
        <w:t>The Home and Community Care Program for Younger People (HACC-PYP) aims to</w:t>
      </w:r>
      <w:r>
        <w:rPr>
          <w:rFonts w:eastAsia="Times New Roman"/>
          <w:lang w:eastAsia="en-AU"/>
        </w:rPr>
        <w:t xml:space="preserve"> </w:t>
      </w:r>
      <w:r w:rsidRPr="002A2A58">
        <w:rPr>
          <w:rFonts w:eastAsia="Times New Roman"/>
          <w:lang w:eastAsia="en-AU"/>
        </w:rPr>
        <w:t xml:space="preserve">provide </w:t>
      </w:r>
      <w:r>
        <w:rPr>
          <w:rFonts w:eastAsia="Times New Roman"/>
          <w:lang w:eastAsia="en-AU"/>
        </w:rPr>
        <w:t>an</w:t>
      </w:r>
      <w:r w:rsidRPr="002A2A58">
        <w:rPr>
          <w:rFonts w:eastAsia="Times New Roman"/>
          <w:lang w:eastAsia="en-AU"/>
        </w:rPr>
        <w:t xml:space="preserve"> integrated range of basic maintenance and support services </w:t>
      </w:r>
      <w:r>
        <w:rPr>
          <w:rFonts w:eastAsia="Times New Roman"/>
          <w:lang w:eastAsia="en-AU"/>
        </w:rPr>
        <w:t>to eligible clients to:</w:t>
      </w:r>
    </w:p>
    <w:p w14:paraId="01441AEF" w14:textId="77777777" w:rsidR="000219B7" w:rsidRDefault="000219B7" w:rsidP="00943F0D">
      <w:pPr>
        <w:pStyle w:val="DHHSbullet1"/>
      </w:pPr>
      <w:r w:rsidRPr="008666E6">
        <w:t>improve</w:t>
      </w:r>
      <w:r>
        <w:t xml:space="preserve"> and </w:t>
      </w:r>
      <w:r w:rsidRPr="008666E6">
        <w:t xml:space="preserve">maintain </w:t>
      </w:r>
      <w:r>
        <w:t xml:space="preserve">the client’s </w:t>
      </w:r>
      <w:r w:rsidRPr="008666E6">
        <w:t>independence and capacity to live safely at home and participate in community activities</w:t>
      </w:r>
      <w:r>
        <w:t xml:space="preserve"> and </w:t>
      </w:r>
    </w:p>
    <w:p w14:paraId="2CC9E7D7" w14:textId="77777777" w:rsidR="001A2644" w:rsidRDefault="000219B7" w:rsidP="00943F0D">
      <w:pPr>
        <w:pStyle w:val="DHHSbullet1"/>
      </w:pPr>
      <w:r>
        <w:t>strengthen the capacity of the client’s carer to maintain their care role.</w:t>
      </w:r>
      <w:r w:rsidRPr="00BE3188">
        <w:t xml:space="preserve"> </w:t>
      </w:r>
    </w:p>
    <w:bookmarkEnd w:id="1"/>
    <w:p w14:paraId="58CFF29B" w14:textId="77777777" w:rsidR="002B7F49" w:rsidRDefault="002B7F49" w:rsidP="00943F0D">
      <w:pPr>
        <w:pStyle w:val="Heading1"/>
      </w:pPr>
      <w:r>
        <w:t>2</w:t>
      </w:r>
      <w:r w:rsidRPr="00B70F76">
        <w:t xml:space="preserve">. </w:t>
      </w:r>
      <w:r>
        <w:t xml:space="preserve">Description of the </w:t>
      </w:r>
      <w:r w:rsidR="00E06CF9">
        <w:t>activity</w:t>
      </w:r>
    </w:p>
    <w:p w14:paraId="3C9AFEEF" w14:textId="520FFB5C" w:rsidR="00891F05" w:rsidRDefault="00E06CF9" w:rsidP="00943F0D">
      <w:pPr>
        <w:pStyle w:val="DHHSbody"/>
      </w:pPr>
      <w:r>
        <w:t>T</w:t>
      </w:r>
      <w:r w:rsidR="00C05FB7" w:rsidRPr="00C05FB7">
        <w:t>he HACC</w:t>
      </w:r>
      <w:r w:rsidR="00C6002A">
        <w:t>-PYP</w:t>
      </w:r>
      <w:r w:rsidR="00C05FB7" w:rsidRPr="00C05FB7">
        <w:t xml:space="preserve"> </w:t>
      </w:r>
      <w:r w:rsidR="00C6002A">
        <w:t>A</w:t>
      </w:r>
      <w:r w:rsidR="00C6002A" w:rsidRPr="00C05FB7">
        <w:t xml:space="preserve">ccess </w:t>
      </w:r>
      <w:r w:rsidR="00C05FB7" w:rsidRPr="00C05FB7">
        <w:t xml:space="preserve">and </w:t>
      </w:r>
      <w:r w:rsidR="00C6002A">
        <w:t>S</w:t>
      </w:r>
      <w:r w:rsidR="00C6002A" w:rsidRPr="00C05FB7">
        <w:t xml:space="preserve">upport </w:t>
      </w:r>
      <w:r w:rsidR="00C05FB7" w:rsidRPr="00C05FB7">
        <w:t xml:space="preserve">activity </w:t>
      </w:r>
      <w:r>
        <w:t xml:space="preserve">supports </w:t>
      </w:r>
      <w:r w:rsidR="001A2644">
        <w:t xml:space="preserve">eligible clients and carers </w:t>
      </w:r>
      <w:r>
        <w:t xml:space="preserve">to understand and navigate the HACC-PYP service </w:t>
      </w:r>
      <w:r w:rsidR="003A3D28">
        <w:t>system</w:t>
      </w:r>
      <w:r w:rsidR="00891F05">
        <w:t xml:space="preserve">. Access and Support providers also </w:t>
      </w:r>
      <w:r w:rsidR="001A2644">
        <w:t xml:space="preserve">work with </w:t>
      </w:r>
      <w:r w:rsidR="00891F05">
        <w:t xml:space="preserve">other </w:t>
      </w:r>
      <w:r w:rsidR="001A2644">
        <w:t>HACC</w:t>
      </w:r>
      <w:r w:rsidR="00C6002A">
        <w:t>-PYP</w:t>
      </w:r>
      <w:r w:rsidR="001A2644">
        <w:t xml:space="preserve"> providers to facilitate improved access for people with diverse needs.</w:t>
      </w:r>
      <w:bookmarkStart w:id="2" w:name="_Hlk5802272"/>
      <w:r w:rsidR="00891F05" w:rsidRPr="00891F05">
        <w:t xml:space="preserve"> </w:t>
      </w:r>
    </w:p>
    <w:bookmarkEnd w:id="2"/>
    <w:p w14:paraId="2132F815" w14:textId="6AFBC18A" w:rsidR="000219B7" w:rsidRDefault="000219B7" w:rsidP="00E06CF9">
      <w:pPr>
        <w:pStyle w:val="DHHSbody"/>
        <w:spacing w:beforeLines="40" w:before="96"/>
        <w:rPr>
          <w:rFonts w:eastAsia="Times New Roman"/>
          <w:lang w:eastAsia="en-AU"/>
        </w:rPr>
      </w:pPr>
      <w:r w:rsidRPr="008666E6">
        <w:rPr>
          <w:rFonts w:eastAsia="Times New Roman"/>
          <w:lang w:eastAsia="en-AU"/>
        </w:rPr>
        <w:t xml:space="preserve">Assistance is provided in a manner </w:t>
      </w:r>
      <w:r w:rsidR="00C6002A">
        <w:rPr>
          <w:rFonts w:eastAsia="Times New Roman"/>
          <w:lang w:eastAsia="en-AU"/>
        </w:rPr>
        <w:t>that</w:t>
      </w:r>
      <w:r w:rsidR="00C6002A" w:rsidRPr="008666E6">
        <w:rPr>
          <w:rFonts w:eastAsia="Times New Roman"/>
          <w:lang w:eastAsia="en-AU"/>
        </w:rPr>
        <w:t xml:space="preserve"> </w:t>
      </w:r>
      <w:r w:rsidRPr="008666E6">
        <w:rPr>
          <w:rFonts w:eastAsia="Times New Roman"/>
          <w:lang w:eastAsia="en-AU"/>
        </w:rPr>
        <w:t xml:space="preserve">promotes skills development, capacity building </w:t>
      </w:r>
      <w:r>
        <w:rPr>
          <w:rFonts w:eastAsia="Times New Roman"/>
          <w:lang w:eastAsia="en-AU"/>
        </w:rPr>
        <w:t xml:space="preserve">and </w:t>
      </w:r>
      <w:r w:rsidRPr="008666E6">
        <w:rPr>
          <w:rFonts w:eastAsia="Times New Roman"/>
          <w:lang w:eastAsia="en-AU"/>
        </w:rPr>
        <w:t>independence</w:t>
      </w:r>
      <w:r w:rsidR="00891F05">
        <w:rPr>
          <w:rFonts w:eastAsia="Times New Roman"/>
          <w:lang w:eastAsia="en-AU"/>
        </w:rPr>
        <w:t>.</w:t>
      </w:r>
    </w:p>
    <w:p w14:paraId="3B640EA1" w14:textId="77777777" w:rsidR="002B7F49" w:rsidRPr="00B70F76" w:rsidRDefault="002B7F49" w:rsidP="00943F0D">
      <w:pPr>
        <w:pStyle w:val="Heading1"/>
      </w:pPr>
      <w:r>
        <w:t xml:space="preserve">3. </w:t>
      </w:r>
      <w:r w:rsidRPr="00B70F76">
        <w:t>Client group</w:t>
      </w:r>
    </w:p>
    <w:p w14:paraId="0891F788" w14:textId="55DA99DE" w:rsidR="00E06CF9" w:rsidRPr="00C05FB7" w:rsidRDefault="0097646B" w:rsidP="001A2644">
      <w:pPr>
        <w:pStyle w:val="DHHSbody"/>
        <w:spacing w:beforeLines="40" w:before="96"/>
        <w:rPr>
          <w:rFonts w:eastAsia="Times New Roman"/>
          <w:lang w:eastAsia="en-AU"/>
        </w:rPr>
      </w:pPr>
      <w:r>
        <w:t xml:space="preserve">The client group for this activity is people aged under 65 years or under 50 years for Aboriginal and Torres Strait Islanders, who have difficulty performing activities of daily living and their </w:t>
      </w:r>
      <w:proofErr w:type="spellStart"/>
      <w:r>
        <w:t>carers</w:t>
      </w:r>
      <w:proofErr w:type="spellEnd"/>
      <w:r w:rsidR="00891F05">
        <w:t xml:space="preserve">, also </w:t>
      </w:r>
      <w:r w:rsidR="00E06CF9" w:rsidRPr="00C05FB7">
        <w:rPr>
          <w:rFonts w:eastAsia="Times New Roman"/>
          <w:lang w:eastAsia="en-AU"/>
        </w:rPr>
        <w:t>experienc</w:t>
      </w:r>
      <w:r>
        <w:rPr>
          <w:rFonts w:eastAsia="Times New Roman"/>
          <w:lang w:eastAsia="en-AU"/>
        </w:rPr>
        <w:t>ing</w:t>
      </w:r>
      <w:r w:rsidR="00E06CF9" w:rsidRPr="00C05FB7">
        <w:rPr>
          <w:rFonts w:eastAsia="Times New Roman"/>
          <w:lang w:eastAsia="en-AU"/>
        </w:rPr>
        <w:t xml:space="preserve"> barriers to access</w:t>
      </w:r>
      <w:r w:rsidR="001A2644">
        <w:rPr>
          <w:rFonts w:eastAsia="Times New Roman"/>
          <w:lang w:eastAsia="en-AU"/>
        </w:rPr>
        <w:t xml:space="preserve">ing HACC-PYP services due to diversity characteristics such as gender, faith, cultural background or sexual identity. </w:t>
      </w:r>
    </w:p>
    <w:p w14:paraId="62D1C2FE" w14:textId="77777777" w:rsidR="002B7F49" w:rsidRDefault="002B7F49" w:rsidP="00943F0D">
      <w:pPr>
        <w:pStyle w:val="Heading1"/>
      </w:pPr>
      <w:bookmarkStart w:id="3" w:name="_Hlk5789041"/>
      <w:r>
        <w:t>4. Obligations specific to this activity</w:t>
      </w:r>
    </w:p>
    <w:p w14:paraId="24327905" w14:textId="77777777" w:rsidR="002B7F49" w:rsidRPr="001A2644" w:rsidRDefault="002B7F49" w:rsidP="007B7E5D">
      <w:pPr>
        <w:pStyle w:val="DHHSbody"/>
        <w:spacing w:beforeLines="40" w:before="96"/>
      </w:pPr>
      <w:r w:rsidRPr="001A2644">
        <w:t>In addition to the obligations listed in the Service Agreement, organisations funded to deliver this activity must comply with the following:</w:t>
      </w:r>
    </w:p>
    <w:p w14:paraId="550BA2C2" w14:textId="77777777" w:rsidR="00D15BCD" w:rsidRPr="001A2644" w:rsidRDefault="003A3D28" w:rsidP="00D15BCD">
      <w:pPr>
        <w:pStyle w:val="Heading2"/>
      </w:pPr>
      <w:r w:rsidRPr="001A2644">
        <w:t xml:space="preserve">4a. </w:t>
      </w:r>
      <w:r w:rsidR="00D15BCD" w:rsidRPr="001A2644">
        <w:t>Registration and Accreditation</w:t>
      </w:r>
    </w:p>
    <w:p w14:paraId="651BA6E1" w14:textId="71AF9E62" w:rsidR="00AF6ECF" w:rsidRPr="00C45981" w:rsidRDefault="00AF6ECF" w:rsidP="00C45981">
      <w:pPr>
        <w:pStyle w:val="DHHSbody"/>
      </w:pPr>
      <w:r w:rsidRPr="00C45981">
        <w:t>Compliance with Quality Standards</w:t>
      </w:r>
      <w:r w:rsidR="00495B8A">
        <w:t>.</w:t>
      </w:r>
      <w:r w:rsidRPr="00C45981">
        <w:t> </w:t>
      </w:r>
    </w:p>
    <w:p w14:paraId="70DDFA79" w14:textId="7A7CFFAB" w:rsidR="00AF6ECF" w:rsidRPr="00C45981" w:rsidRDefault="00AF6ECF" w:rsidP="00C45981">
      <w:pPr>
        <w:pStyle w:val="DHHSbody"/>
      </w:pPr>
      <w:r w:rsidRPr="00C45981">
        <w:t>Organisations that only receive HACC-PYP funding are required to meet the Home Care Common Standards. </w:t>
      </w:r>
    </w:p>
    <w:p w14:paraId="0EDEF403" w14:textId="5BE827A1" w:rsidR="00AF6ECF" w:rsidRPr="00C45981" w:rsidRDefault="00AF6ECF" w:rsidP="00C45981">
      <w:pPr>
        <w:pStyle w:val="DHHSbody"/>
      </w:pPr>
      <w:r w:rsidRPr="00C45981">
        <w:t>Organisations that are also funded to deliver the Commonwealth Home Support Programme (CHSP) are subject to review against the Aged Care Quality Standards undertaken by the Aged Care Quality and Safety Commission. Quality reviews for CHSP against the Aged Care Quality Standards satisfy the HACC-PYP quality requirements. </w:t>
      </w:r>
    </w:p>
    <w:bookmarkEnd w:id="3"/>
    <w:p w14:paraId="772A6D52" w14:textId="10EA5445" w:rsidR="002B7F49" w:rsidRPr="001A2644" w:rsidRDefault="002B7F49" w:rsidP="00943F0D">
      <w:pPr>
        <w:pStyle w:val="Heading2"/>
      </w:pPr>
      <w:r w:rsidRPr="001A2644">
        <w:lastRenderedPageBreak/>
        <w:t xml:space="preserve">4b. Program requirements and other policy guidelines </w:t>
      </w:r>
    </w:p>
    <w:p w14:paraId="2590443B" w14:textId="77777777" w:rsidR="00576C0B" w:rsidRDefault="00BB42F0" w:rsidP="00AC5EA0">
      <w:pPr>
        <w:pStyle w:val="DHHSbullet1"/>
      </w:pPr>
      <w:bookmarkStart w:id="4" w:name="_Hlk4405018"/>
      <w:r w:rsidRPr="001A2644">
        <w:t xml:space="preserve">Victorian HACC program manual </w:t>
      </w:r>
      <w:hyperlink r:id="rId12" w:history="1">
        <w:r w:rsidR="00576C0B">
          <w:rPr>
            <w:rStyle w:val="Hyperlink"/>
          </w:rPr>
          <w:t>https://www2.health.vic.gov.au/ageing-and-aged-care/home-and-community-care/hacc-program-for-younger-people/hacc-program-guidelines</w:t>
        </w:r>
      </w:hyperlink>
    </w:p>
    <w:p w14:paraId="26FBF2A0" w14:textId="77777777" w:rsidR="00576C0B" w:rsidRDefault="00A41097" w:rsidP="007B19B4">
      <w:pPr>
        <w:pStyle w:val="DHHSbullet1"/>
      </w:pPr>
      <w:r w:rsidRPr="00C7124C">
        <w:t>HACC M</w:t>
      </w:r>
      <w:r>
        <w:t xml:space="preserve">inimum Dataset </w:t>
      </w:r>
      <w:r w:rsidRPr="00C7124C">
        <w:t>user guide</w:t>
      </w:r>
      <w:r w:rsidR="00576C0B">
        <w:t xml:space="preserve"> </w:t>
      </w:r>
      <w:bookmarkStart w:id="5" w:name="_Hlk4421423"/>
      <w:r w:rsidR="00576C0B">
        <w:rPr>
          <w:rStyle w:val="Hyperlink"/>
        </w:rPr>
        <w:t>https://www2.health.vic.gov.au/ageing-and-aged-care/home-and-community-care/hacc-program-for-younger-people/hacc-program-guidelines</w:t>
      </w:r>
    </w:p>
    <w:p w14:paraId="68C4CA3E" w14:textId="428BAD82" w:rsidR="00A76022" w:rsidRPr="001A2644" w:rsidRDefault="00A76022" w:rsidP="007B19B4">
      <w:pPr>
        <w:pStyle w:val="DHHSbullet1"/>
      </w:pPr>
      <w:r w:rsidRPr="001A2644">
        <w:t>Diversity planning and practice in Home and Community Care services in Victoria: a practice guide for HACC Access and Support roles.</w:t>
      </w:r>
      <w:r w:rsidR="00576C0B" w:rsidRPr="00576C0B">
        <w:t xml:space="preserve"> </w:t>
      </w:r>
      <w:hyperlink r:id="rId13" w:history="1">
        <w:r w:rsidR="00576C0B">
          <w:rPr>
            <w:rStyle w:val="Hyperlink"/>
          </w:rPr>
          <w:t>https://www2.health.vic.gov.au/ageing-and-aged-care/home-and-community-care/hacc-program-for-younger-people/hacc-program-guidelines</w:t>
        </w:r>
      </w:hyperlink>
    </w:p>
    <w:p w14:paraId="608FAC33" w14:textId="263B6E89" w:rsidR="003A3D28" w:rsidRPr="001A2644" w:rsidRDefault="00A76022" w:rsidP="00943F0D">
      <w:pPr>
        <w:pStyle w:val="DHHSbullet1"/>
      </w:pPr>
      <w:r w:rsidRPr="001A2644">
        <w:t>Diversity planning and practice in Home and Community Care services in Victoria: working with HACC Access and Support services.</w:t>
      </w:r>
      <w:r w:rsidR="00576C0B" w:rsidRPr="00576C0B">
        <w:t xml:space="preserve"> </w:t>
      </w:r>
      <w:hyperlink r:id="rId14" w:history="1">
        <w:r w:rsidR="00576C0B">
          <w:rPr>
            <w:rStyle w:val="Hyperlink"/>
          </w:rPr>
          <w:t>https://www2.health.vic.gov.au/ageing-and-aged-care/home-and-community-care/hacc-program-for-younger-people/hacc-program-guidelines</w:t>
        </w:r>
      </w:hyperlink>
    </w:p>
    <w:p w14:paraId="79F95BF7" w14:textId="77777777" w:rsidR="002B7F49" w:rsidRPr="00575BC9" w:rsidRDefault="00943F0D" w:rsidP="00943F0D">
      <w:pPr>
        <w:pStyle w:val="Heading1"/>
      </w:pPr>
      <w:bookmarkStart w:id="6" w:name="_Hlk5789163"/>
      <w:bookmarkEnd w:id="4"/>
      <w:bookmarkEnd w:id="5"/>
      <w:r>
        <w:t>5</w:t>
      </w:r>
      <w:r w:rsidR="002B7F49">
        <w:t>. Performance</w:t>
      </w:r>
    </w:p>
    <w:p w14:paraId="6E4A1939" w14:textId="77777777" w:rsidR="003A3D28" w:rsidRPr="001F1A17" w:rsidRDefault="003A3D28" w:rsidP="00943F0D">
      <w:pPr>
        <w:pStyle w:val="DHHSbody"/>
      </w:pPr>
      <w:r>
        <w:t>Funding is subject to achieving the</w:t>
      </w:r>
      <w:r w:rsidRPr="00171F04">
        <w:t xml:space="preserve"> </w:t>
      </w:r>
      <w:r>
        <w:t xml:space="preserve">performance targets specified in Schedule 2 of an organisation’s Service Agreement. Performance is measured as follows:  </w:t>
      </w:r>
    </w:p>
    <w:p w14:paraId="2BB6A1B6" w14:textId="54510F46" w:rsidR="00C05FB7" w:rsidRDefault="00C05FB7" w:rsidP="00943F0D">
      <w:pPr>
        <w:pStyle w:val="Heading2"/>
      </w:pPr>
      <w:bookmarkStart w:id="7" w:name="_Hlk5786984"/>
      <w:r>
        <w:t>Key performance measure</w:t>
      </w:r>
      <w:r w:rsidR="00943F0D">
        <w:t xml:space="preserve"> 1</w:t>
      </w:r>
      <w:r>
        <w:t xml:space="preserve">: </w:t>
      </w:r>
      <w:r>
        <w:rPr>
          <w:rStyle w:val="DHHSbodyChar"/>
        </w:rPr>
        <w:t>Number of hours</w:t>
      </w:r>
    </w:p>
    <w:tbl>
      <w:tblPr>
        <w:tblW w:w="10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379"/>
      </w:tblGrid>
      <w:tr w:rsidR="001A2644" w14:paraId="542551E8" w14:textId="77777777" w:rsidTr="00943F0D">
        <w:trPr>
          <w:cantSplit/>
          <w:trHeight w:hRule="exact" w:val="752"/>
        </w:trPr>
        <w:tc>
          <w:tcPr>
            <w:tcW w:w="2835" w:type="dxa"/>
            <w:tcBorders>
              <w:top w:val="single" w:sz="4" w:space="0" w:color="auto"/>
              <w:left w:val="single" w:sz="4" w:space="0" w:color="auto"/>
              <w:bottom w:val="single" w:sz="4" w:space="0" w:color="auto"/>
              <w:right w:val="single" w:sz="4" w:space="0" w:color="auto"/>
            </w:tcBorders>
            <w:hideMark/>
          </w:tcPr>
          <w:p w14:paraId="18667C4A" w14:textId="77777777" w:rsidR="001A2644" w:rsidRPr="0017293C" w:rsidRDefault="001A2644" w:rsidP="00943F0D">
            <w:pPr>
              <w:pStyle w:val="DHHStablecolhead"/>
            </w:pPr>
            <w:bookmarkStart w:id="8" w:name="_Hlk5786915"/>
            <w:bookmarkStart w:id="9" w:name="_Hlk5789236"/>
            <w:bookmarkEnd w:id="6"/>
            <w:bookmarkEnd w:id="7"/>
            <w:r w:rsidRPr="00575BC9">
              <w:t>Aim/objective</w:t>
            </w:r>
          </w:p>
        </w:tc>
        <w:tc>
          <w:tcPr>
            <w:tcW w:w="7379" w:type="dxa"/>
            <w:tcBorders>
              <w:top w:val="single" w:sz="4" w:space="0" w:color="auto"/>
              <w:left w:val="single" w:sz="4" w:space="0" w:color="auto"/>
              <w:bottom w:val="single" w:sz="4" w:space="0" w:color="auto"/>
              <w:right w:val="single" w:sz="4" w:space="0" w:color="auto"/>
            </w:tcBorders>
            <w:hideMark/>
          </w:tcPr>
          <w:p w14:paraId="2EBAED10" w14:textId="77777777" w:rsidR="001A2644" w:rsidRPr="002F7C4B" w:rsidRDefault="001A2644" w:rsidP="00943F0D">
            <w:pPr>
              <w:pStyle w:val="DHHStabletext"/>
              <w:rPr>
                <w:color w:val="7030A0"/>
              </w:rPr>
            </w:pPr>
            <w:r w:rsidRPr="005E6108">
              <w:t xml:space="preserve">The objective of this measure is to record the hours of </w:t>
            </w:r>
            <w:r>
              <w:t xml:space="preserve">Access and </w:t>
            </w:r>
            <w:r w:rsidR="00813534">
              <w:t>S</w:t>
            </w:r>
            <w:r>
              <w:t xml:space="preserve">upport </w:t>
            </w:r>
            <w:r w:rsidRPr="005E6108">
              <w:t>provided to</w:t>
            </w:r>
            <w:r w:rsidR="00891F05">
              <w:t xml:space="preserve"> </w:t>
            </w:r>
            <w:r w:rsidR="00102672">
              <w:t xml:space="preserve">individual </w:t>
            </w:r>
            <w:r w:rsidRPr="005E6108">
              <w:t>clients</w:t>
            </w:r>
            <w:r>
              <w:t xml:space="preserve"> or carers.</w:t>
            </w:r>
          </w:p>
        </w:tc>
      </w:tr>
      <w:tr w:rsidR="001A2644" w14:paraId="155128D5" w14:textId="77777777" w:rsidTr="00943F0D">
        <w:trPr>
          <w:cantSplit/>
          <w:trHeight w:hRule="exact" w:val="489"/>
        </w:trPr>
        <w:tc>
          <w:tcPr>
            <w:tcW w:w="2835" w:type="dxa"/>
            <w:tcBorders>
              <w:top w:val="single" w:sz="4" w:space="0" w:color="auto"/>
              <w:left w:val="single" w:sz="4" w:space="0" w:color="auto"/>
              <w:bottom w:val="single" w:sz="4" w:space="0" w:color="auto"/>
              <w:right w:val="single" w:sz="4" w:space="0" w:color="auto"/>
            </w:tcBorders>
            <w:hideMark/>
          </w:tcPr>
          <w:p w14:paraId="36C41BFB" w14:textId="77777777" w:rsidR="001A2644" w:rsidRPr="0017293C" w:rsidRDefault="001A2644" w:rsidP="00943F0D">
            <w:pPr>
              <w:pStyle w:val="DHHStablecolhead"/>
            </w:pPr>
            <w:r w:rsidRPr="00575BC9">
              <w:t>Target</w:t>
            </w:r>
          </w:p>
        </w:tc>
        <w:tc>
          <w:tcPr>
            <w:tcW w:w="7379" w:type="dxa"/>
            <w:tcBorders>
              <w:top w:val="single" w:sz="4" w:space="0" w:color="auto"/>
              <w:left w:val="single" w:sz="4" w:space="0" w:color="auto"/>
              <w:bottom w:val="single" w:sz="4" w:space="0" w:color="auto"/>
              <w:right w:val="single" w:sz="4" w:space="0" w:color="auto"/>
            </w:tcBorders>
            <w:hideMark/>
          </w:tcPr>
          <w:p w14:paraId="1C7238D6" w14:textId="795C119B" w:rsidR="00073F31" w:rsidRDefault="00073F31" w:rsidP="00943F0D">
            <w:pPr>
              <w:pStyle w:val="DHHStabletext"/>
            </w:pPr>
            <w:r w:rsidRPr="00073F31">
              <w:t>The performance target is provided in the Service Agreement</w:t>
            </w:r>
            <w:r w:rsidR="00495B8A">
              <w:t>.</w:t>
            </w:r>
          </w:p>
          <w:p w14:paraId="64FB3C9C" w14:textId="77777777" w:rsidR="001A2644" w:rsidRPr="002F7C4B" w:rsidRDefault="001A2644" w:rsidP="00943F0D">
            <w:pPr>
              <w:pStyle w:val="DHHStabletext"/>
              <w:rPr>
                <w:color w:val="7030A0"/>
              </w:rPr>
            </w:pPr>
          </w:p>
        </w:tc>
      </w:tr>
      <w:tr w:rsidR="001A2644" w14:paraId="76593106" w14:textId="77777777" w:rsidTr="00495B8A">
        <w:trPr>
          <w:cantSplit/>
          <w:trHeight w:hRule="exact" w:val="479"/>
        </w:trPr>
        <w:tc>
          <w:tcPr>
            <w:tcW w:w="2835" w:type="dxa"/>
            <w:tcBorders>
              <w:top w:val="single" w:sz="4" w:space="0" w:color="auto"/>
              <w:left w:val="single" w:sz="4" w:space="0" w:color="auto"/>
              <w:bottom w:val="single" w:sz="4" w:space="0" w:color="auto"/>
              <w:right w:val="single" w:sz="4" w:space="0" w:color="auto"/>
            </w:tcBorders>
            <w:hideMark/>
          </w:tcPr>
          <w:p w14:paraId="65982607" w14:textId="77777777" w:rsidR="001A2644" w:rsidRPr="0017293C" w:rsidRDefault="001A2644" w:rsidP="00943F0D">
            <w:pPr>
              <w:pStyle w:val="DHHStablecolhead"/>
            </w:pPr>
            <w:r w:rsidRPr="00575BC9">
              <w:t>Type of count</w:t>
            </w:r>
          </w:p>
        </w:tc>
        <w:tc>
          <w:tcPr>
            <w:tcW w:w="7379" w:type="dxa"/>
            <w:tcBorders>
              <w:top w:val="single" w:sz="4" w:space="0" w:color="auto"/>
              <w:left w:val="single" w:sz="4" w:space="0" w:color="auto"/>
              <w:bottom w:val="single" w:sz="4" w:space="0" w:color="auto"/>
              <w:right w:val="single" w:sz="4" w:space="0" w:color="auto"/>
            </w:tcBorders>
          </w:tcPr>
          <w:p w14:paraId="18F7D2A8" w14:textId="74DF5C4D" w:rsidR="001A2644" w:rsidRPr="00C237A0" w:rsidRDefault="001A2644" w:rsidP="00943F0D">
            <w:pPr>
              <w:pStyle w:val="DHHStabletext"/>
            </w:pPr>
            <w:r>
              <w:t xml:space="preserve">Cumulative            </w:t>
            </w:r>
          </w:p>
        </w:tc>
      </w:tr>
      <w:tr w:rsidR="001A2644" w14:paraId="5FD7E89E" w14:textId="77777777" w:rsidTr="00495B8A">
        <w:trPr>
          <w:cantSplit/>
          <w:trHeight w:hRule="exact" w:val="2258"/>
        </w:trPr>
        <w:tc>
          <w:tcPr>
            <w:tcW w:w="2835" w:type="dxa"/>
            <w:tcBorders>
              <w:top w:val="single" w:sz="4" w:space="0" w:color="auto"/>
              <w:left w:val="single" w:sz="4" w:space="0" w:color="auto"/>
              <w:bottom w:val="single" w:sz="4" w:space="0" w:color="auto"/>
              <w:right w:val="single" w:sz="4" w:space="0" w:color="auto"/>
            </w:tcBorders>
            <w:hideMark/>
          </w:tcPr>
          <w:p w14:paraId="56BAA3A5" w14:textId="77777777" w:rsidR="001A2644" w:rsidRDefault="001A2644" w:rsidP="00943F0D">
            <w:pPr>
              <w:pStyle w:val="DHHStablecolhead"/>
            </w:pPr>
            <w:r>
              <w:t>Counting rule</w:t>
            </w:r>
          </w:p>
        </w:tc>
        <w:tc>
          <w:tcPr>
            <w:tcW w:w="7379" w:type="dxa"/>
            <w:tcBorders>
              <w:top w:val="single" w:sz="4" w:space="0" w:color="auto"/>
              <w:left w:val="single" w:sz="4" w:space="0" w:color="auto"/>
              <w:bottom w:val="single" w:sz="4" w:space="0" w:color="auto"/>
              <w:right w:val="single" w:sz="4" w:space="0" w:color="auto"/>
            </w:tcBorders>
          </w:tcPr>
          <w:p w14:paraId="5124E382" w14:textId="77777777" w:rsidR="001A2644" w:rsidRDefault="001A2644" w:rsidP="00943F0D">
            <w:pPr>
              <w:pStyle w:val="DHHStabletext"/>
            </w:pPr>
            <w:r>
              <w:t xml:space="preserve">The HACC MDS is used to record the hours of direct service to </w:t>
            </w:r>
            <w:r w:rsidR="00CB40D5">
              <w:t xml:space="preserve">an individual </w:t>
            </w:r>
            <w:r>
              <w:t>client or carer.</w:t>
            </w:r>
          </w:p>
          <w:p w14:paraId="0F38C1A7" w14:textId="77777777" w:rsidR="001A2644" w:rsidRDefault="001A2644" w:rsidP="00943F0D">
            <w:pPr>
              <w:pStyle w:val="DHHStabletext"/>
            </w:pPr>
            <w:r>
              <w:t xml:space="preserve">Countable time includes time spent: </w:t>
            </w:r>
          </w:p>
          <w:p w14:paraId="0F69EBD4" w14:textId="77777777" w:rsidR="001A2644" w:rsidRDefault="001A2644" w:rsidP="00943F0D">
            <w:pPr>
              <w:pStyle w:val="DHHStablebullet"/>
            </w:pPr>
            <w:r>
              <w:t xml:space="preserve">in contact with the client, their family or carers </w:t>
            </w:r>
          </w:p>
          <w:p w14:paraId="6D88D46B" w14:textId="77777777" w:rsidR="001A2644" w:rsidRDefault="001A2644" w:rsidP="00943F0D">
            <w:pPr>
              <w:pStyle w:val="DHHStablebullet"/>
            </w:pPr>
            <w:r>
              <w:t xml:space="preserve">writing case notes </w:t>
            </w:r>
          </w:p>
          <w:p w14:paraId="3549F3C0" w14:textId="77777777" w:rsidR="00AB7789" w:rsidRDefault="001A2644" w:rsidP="00943F0D">
            <w:pPr>
              <w:pStyle w:val="DHHStablebullet"/>
            </w:pPr>
            <w:r>
              <w:t>making referrals</w:t>
            </w:r>
            <w:r w:rsidR="00AB7789">
              <w:t xml:space="preserve"> and assisting people to obtain other necessary services. </w:t>
            </w:r>
          </w:p>
          <w:p w14:paraId="7118CF5C" w14:textId="77777777" w:rsidR="001A2644" w:rsidRDefault="001A2644" w:rsidP="00943F0D">
            <w:pPr>
              <w:pStyle w:val="DHHStablebullet"/>
            </w:pPr>
            <w:r>
              <w:t xml:space="preserve">attending inter-agency meetings </w:t>
            </w:r>
          </w:p>
        </w:tc>
      </w:tr>
      <w:bookmarkEnd w:id="8"/>
      <w:tr w:rsidR="001A2644" w14:paraId="3A0A84BD" w14:textId="77777777" w:rsidTr="00943F0D">
        <w:trPr>
          <w:cantSplit/>
          <w:trHeight w:hRule="exact" w:val="431"/>
        </w:trPr>
        <w:tc>
          <w:tcPr>
            <w:tcW w:w="2835" w:type="dxa"/>
            <w:tcBorders>
              <w:top w:val="single" w:sz="4" w:space="0" w:color="auto"/>
              <w:left w:val="single" w:sz="4" w:space="0" w:color="auto"/>
              <w:bottom w:val="single" w:sz="4" w:space="0" w:color="auto"/>
              <w:right w:val="single" w:sz="4" w:space="0" w:color="auto"/>
            </w:tcBorders>
            <w:hideMark/>
          </w:tcPr>
          <w:p w14:paraId="7903DA53" w14:textId="77777777" w:rsidR="001A2644" w:rsidRDefault="001A2644" w:rsidP="00943F0D">
            <w:pPr>
              <w:pStyle w:val="DHHStablecolhead"/>
            </w:pPr>
            <w:r>
              <w:t>Data source(s) collection</w:t>
            </w:r>
          </w:p>
        </w:tc>
        <w:tc>
          <w:tcPr>
            <w:tcW w:w="7379" w:type="dxa"/>
            <w:tcBorders>
              <w:top w:val="single" w:sz="4" w:space="0" w:color="auto"/>
              <w:left w:val="single" w:sz="4" w:space="0" w:color="auto"/>
              <w:bottom w:val="single" w:sz="4" w:space="0" w:color="auto"/>
              <w:right w:val="single" w:sz="4" w:space="0" w:color="auto"/>
            </w:tcBorders>
            <w:hideMark/>
          </w:tcPr>
          <w:p w14:paraId="23DB95B2" w14:textId="77777777" w:rsidR="001A2644" w:rsidRPr="008D5CB5" w:rsidRDefault="001A2644" w:rsidP="00943F0D">
            <w:pPr>
              <w:pStyle w:val="DHHStabletext"/>
              <w:rPr>
                <w:color w:val="000000" w:themeColor="text1"/>
              </w:rPr>
            </w:pPr>
            <w:r>
              <w:rPr>
                <w:color w:val="000000" w:themeColor="text1"/>
              </w:rPr>
              <w:t xml:space="preserve">HACC Minimum Data Set </w:t>
            </w:r>
          </w:p>
        </w:tc>
      </w:tr>
      <w:tr w:rsidR="001A2644" w14:paraId="4D907EEB" w14:textId="77777777" w:rsidTr="00495B8A">
        <w:trPr>
          <w:cantSplit/>
          <w:trHeight w:hRule="exact" w:val="979"/>
        </w:trPr>
        <w:tc>
          <w:tcPr>
            <w:tcW w:w="2835" w:type="dxa"/>
            <w:tcBorders>
              <w:top w:val="single" w:sz="4" w:space="0" w:color="auto"/>
              <w:left w:val="single" w:sz="4" w:space="0" w:color="auto"/>
              <w:bottom w:val="single" w:sz="4" w:space="0" w:color="auto"/>
              <w:right w:val="single" w:sz="4" w:space="0" w:color="auto"/>
            </w:tcBorders>
          </w:tcPr>
          <w:p w14:paraId="40930D8B" w14:textId="77777777" w:rsidR="001A2644" w:rsidRDefault="001A2644" w:rsidP="00943F0D">
            <w:pPr>
              <w:pStyle w:val="DHHStablecolhead"/>
            </w:pPr>
            <w:r>
              <w:t>Definition of terms</w:t>
            </w:r>
          </w:p>
        </w:tc>
        <w:tc>
          <w:tcPr>
            <w:tcW w:w="7379" w:type="dxa"/>
            <w:tcBorders>
              <w:top w:val="single" w:sz="4" w:space="0" w:color="auto"/>
              <w:left w:val="single" w:sz="4" w:space="0" w:color="auto"/>
              <w:bottom w:val="single" w:sz="4" w:space="0" w:color="auto"/>
              <w:right w:val="single" w:sz="4" w:space="0" w:color="auto"/>
            </w:tcBorders>
            <w:hideMark/>
          </w:tcPr>
          <w:p w14:paraId="647B60E4" w14:textId="77777777" w:rsidR="001A2644" w:rsidRDefault="00EA201A" w:rsidP="00943F0D">
            <w:pPr>
              <w:pStyle w:val="DHHStabletext"/>
              <w:rPr>
                <w:color w:val="000000" w:themeColor="text1"/>
              </w:rPr>
            </w:pPr>
            <w:r>
              <w:rPr>
                <w:color w:val="000000" w:themeColor="text1"/>
              </w:rPr>
              <w:t xml:space="preserve">An hour of </w:t>
            </w:r>
            <w:r w:rsidR="00D53DD3">
              <w:rPr>
                <w:color w:val="000000" w:themeColor="text1"/>
              </w:rPr>
              <w:t>service</w:t>
            </w:r>
            <w:r>
              <w:rPr>
                <w:color w:val="000000" w:themeColor="text1"/>
              </w:rPr>
              <w:t xml:space="preserve"> </w:t>
            </w:r>
            <w:r w:rsidR="00D53DD3">
              <w:rPr>
                <w:color w:val="000000" w:themeColor="text1"/>
              </w:rPr>
              <w:t xml:space="preserve">comprises time spent face to face and indirect time spent on behalf of </w:t>
            </w:r>
            <w:r w:rsidR="00CB40D5">
              <w:rPr>
                <w:color w:val="000000" w:themeColor="text1"/>
              </w:rPr>
              <w:t>an individual</w:t>
            </w:r>
            <w:r w:rsidR="00D53DD3">
              <w:rPr>
                <w:color w:val="000000" w:themeColor="text1"/>
              </w:rPr>
              <w:t xml:space="preserve"> client or carer such as phone calls and time spent writing case notes or support plans.</w:t>
            </w:r>
          </w:p>
          <w:p w14:paraId="6C40EB09" w14:textId="77777777" w:rsidR="00073F31" w:rsidRDefault="00073F31" w:rsidP="00943F0D">
            <w:pPr>
              <w:pStyle w:val="DHHStabletext"/>
            </w:pPr>
          </w:p>
          <w:p w14:paraId="11859ACE" w14:textId="37E4F354" w:rsidR="00073F31" w:rsidRDefault="00073F31" w:rsidP="00943F0D">
            <w:pPr>
              <w:pStyle w:val="DHHStabletext"/>
              <w:rPr>
                <w:color w:val="000000" w:themeColor="text1"/>
              </w:rPr>
            </w:pPr>
          </w:p>
        </w:tc>
      </w:tr>
    </w:tbl>
    <w:bookmarkEnd w:id="9"/>
    <w:p w14:paraId="3B61CC0C" w14:textId="77777777" w:rsidR="00C05FB7" w:rsidRDefault="00943F0D" w:rsidP="00943F0D">
      <w:pPr>
        <w:pStyle w:val="Heading1"/>
      </w:pPr>
      <w:r>
        <w:t>6</w:t>
      </w:r>
      <w:r w:rsidR="00AB7789">
        <w:t xml:space="preserve">. </w:t>
      </w:r>
      <w:r w:rsidR="00C05FB7">
        <w:t>Data collection</w:t>
      </w:r>
    </w:p>
    <w:p w14:paraId="31DDB78F" w14:textId="77777777" w:rsidR="00C05FB7" w:rsidRDefault="00C05FB7" w:rsidP="00943F0D">
      <w:pPr>
        <w:pStyle w:val="DHHSbody"/>
      </w:pPr>
      <w:r>
        <w:t>The reporting requirements for this service are:</w:t>
      </w:r>
    </w:p>
    <w:tbl>
      <w:tblPr>
        <w:tblW w:w="102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48"/>
        <w:gridCol w:w="2012"/>
        <w:gridCol w:w="2580"/>
        <w:gridCol w:w="2508"/>
      </w:tblGrid>
      <w:tr w:rsidR="00C05FB7" w14:paraId="2B3CD53F" w14:textId="77777777" w:rsidTr="00943F0D">
        <w:trPr>
          <w:trHeight w:hRule="exact" w:val="340"/>
          <w:tblHeader/>
        </w:trPr>
        <w:tc>
          <w:tcPr>
            <w:tcW w:w="3148" w:type="dxa"/>
            <w:tcBorders>
              <w:top w:val="single" w:sz="4" w:space="0" w:color="auto"/>
              <w:left w:val="single" w:sz="4" w:space="0" w:color="auto"/>
              <w:bottom w:val="single" w:sz="4" w:space="0" w:color="auto"/>
              <w:right w:val="single" w:sz="4" w:space="0" w:color="auto"/>
            </w:tcBorders>
            <w:hideMark/>
          </w:tcPr>
          <w:p w14:paraId="21D7C291" w14:textId="77777777" w:rsidR="00C05FB7" w:rsidRDefault="00C05FB7" w:rsidP="007C70FF">
            <w:pPr>
              <w:pStyle w:val="DHHStablecolhead"/>
            </w:pPr>
            <w:r>
              <w:t>Data collection name</w:t>
            </w:r>
          </w:p>
        </w:tc>
        <w:tc>
          <w:tcPr>
            <w:tcW w:w="2012" w:type="dxa"/>
            <w:tcBorders>
              <w:top w:val="single" w:sz="4" w:space="0" w:color="auto"/>
              <w:left w:val="single" w:sz="4" w:space="0" w:color="auto"/>
              <w:bottom w:val="single" w:sz="4" w:space="0" w:color="auto"/>
              <w:right w:val="single" w:sz="4" w:space="0" w:color="auto"/>
            </w:tcBorders>
            <w:hideMark/>
          </w:tcPr>
          <w:p w14:paraId="6D4FF171" w14:textId="77777777" w:rsidR="00C05FB7" w:rsidRDefault="00C05FB7" w:rsidP="007C70FF">
            <w:pPr>
              <w:pStyle w:val="DHHStablecolhead"/>
            </w:pPr>
            <w:r>
              <w:t xml:space="preserve">Data system </w:t>
            </w:r>
          </w:p>
        </w:tc>
        <w:tc>
          <w:tcPr>
            <w:tcW w:w="2580" w:type="dxa"/>
            <w:tcBorders>
              <w:top w:val="single" w:sz="4" w:space="0" w:color="auto"/>
              <w:left w:val="single" w:sz="4" w:space="0" w:color="auto"/>
              <w:bottom w:val="single" w:sz="4" w:space="0" w:color="auto"/>
              <w:right w:val="single" w:sz="4" w:space="0" w:color="auto"/>
            </w:tcBorders>
            <w:hideMark/>
          </w:tcPr>
          <w:p w14:paraId="2EEE61CE" w14:textId="77777777" w:rsidR="00C05FB7" w:rsidRDefault="00C05FB7" w:rsidP="007C70FF">
            <w:pPr>
              <w:pStyle w:val="DHHStablecolhead"/>
            </w:pPr>
            <w:r>
              <w:t xml:space="preserve">Data set </w:t>
            </w:r>
          </w:p>
        </w:tc>
        <w:tc>
          <w:tcPr>
            <w:tcW w:w="2508" w:type="dxa"/>
            <w:tcBorders>
              <w:top w:val="single" w:sz="4" w:space="0" w:color="auto"/>
              <w:left w:val="single" w:sz="4" w:space="0" w:color="auto"/>
              <w:bottom w:val="single" w:sz="4" w:space="0" w:color="auto"/>
              <w:right w:val="single" w:sz="4" w:space="0" w:color="auto"/>
            </w:tcBorders>
            <w:hideMark/>
          </w:tcPr>
          <w:p w14:paraId="0A2AE917" w14:textId="77777777" w:rsidR="00C05FB7" w:rsidRDefault="00C05FB7" w:rsidP="007C70FF">
            <w:pPr>
              <w:pStyle w:val="DHHStablecolhead"/>
            </w:pPr>
            <w:r>
              <w:t>Reporting cycle</w:t>
            </w:r>
          </w:p>
        </w:tc>
      </w:tr>
      <w:tr w:rsidR="00C05FB7" w14:paraId="4AE47C31" w14:textId="77777777" w:rsidTr="00943F0D">
        <w:trPr>
          <w:cantSplit/>
          <w:trHeight w:val="368"/>
        </w:trPr>
        <w:tc>
          <w:tcPr>
            <w:tcW w:w="3148" w:type="dxa"/>
            <w:tcBorders>
              <w:top w:val="single" w:sz="4" w:space="0" w:color="auto"/>
              <w:left w:val="single" w:sz="4" w:space="0" w:color="auto"/>
              <w:bottom w:val="single" w:sz="4" w:space="0" w:color="auto"/>
              <w:right w:val="single" w:sz="4" w:space="0" w:color="auto"/>
            </w:tcBorders>
            <w:hideMark/>
          </w:tcPr>
          <w:p w14:paraId="57CDAD13" w14:textId="77777777" w:rsidR="00C05FB7" w:rsidRDefault="00C05FB7" w:rsidP="007C70FF">
            <w:pPr>
              <w:pStyle w:val="DHHStabletext"/>
            </w:pPr>
            <w:r>
              <w:t>HACC minimum dataset</w:t>
            </w:r>
          </w:p>
        </w:tc>
        <w:tc>
          <w:tcPr>
            <w:tcW w:w="2012" w:type="dxa"/>
            <w:tcBorders>
              <w:top w:val="single" w:sz="4" w:space="0" w:color="auto"/>
              <w:left w:val="single" w:sz="4" w:space="0" w:color="auto"/>
              <w:bottom w:val="single" w:sz="4" w:space="0" w:color="auto"/>
              <w:right w:val="single" w:sz="4" w:space="0" w:color="auto"/>
            </w:tcBorders>
          </w:tcPr>
          <w:p w14:paraId="08758DEB" w14:textId="77777777" w:rsidR="00C05FB7" w:rsidRDefault="00C05FB7" w:rsidP="007C70FF">
            <w:pPr>
              <w:pStyle w:val="DHHStabletext"/>
            </w:pPr>
            <w:r>
              <w:t xml:space="preserve">HACC Minimum Dataset </w:t>
            </w:r>
          </w:p>
        </w:tc>
        <w:tc>
          <w:tcPr>
            <w:tcW w:w="2580" w:type="dxa"/>
            <w:tcBorders>
              <w:top w:val="single" w:sz="4" w:space="0" w:color="auto"/>
              <w:left w:val="single" w:sz="4" w:space="0" w:color="auto"/>
              <w:bottom w:val="single" w:sz="4" w:space="0" w:color="auto"/>
              <w:right w:val="single" w:sz="4" w:space="0" w:color="auto"/>
            </w:tcBorders>
          </w:tcPr>
          <w:p w14:paraId="20D225F2" w14:textId="77777777" w:rsidR="00C05FB7" w:rsidRDefault="00C05FB7" w:rsidP="007C70FF">
            <w:pPr>
              <w:pStyle w:val="DHHStabletext"/>
            </w:pPr>
            <w:r>
              <w:t>HACC Minimum Dataset</w:t>
            </w:r>
          </w:p>
        </w:tc>
        <w:tc>
          <w:tcPr>
            <w:tcW w:w="2508" w:type="dxa"/>
            <w:tcBorders>
              <w:top w:val="single" w:sz="4" w:space="0" w:color="auto"/>
              <w:left w:val="single" w:sz="4" w:space="0" w:color="auto"/>
              <w:bottom w:val="single" w:sz="4" w:space="0" w:color="auto"/>
              <w:right w:val="single" w:sz="4" w:space="0" w:color="auto"/>
            </w:tcBorders>
          </w:tcPr>
          <w:p w14:paraId="390689E2" w14:textId="77777777" w:rsidR="00C05FB7" w:rsidRDefault="00C05FB7" w:rsidP="007C70FF">
            <w:pPr>
              <w:pStyle w:val="DHHStabletext"/>
            </w:pPr>
            <w:r>
              <w:t xml:space="preserve">Quarterly </w:t>
            </w:r>
          </w:p>
        </w:tc>
      </w:tr>
      <w:tr w:rsidR="00102672" w14:paraId="4779BEDF" w14:textId="77777777" w:rsidTr="00943F0D">
        <w:trPr>
          <w:cantSplit/>
          <w:trHeight w:val="368"/>
        </w:trPr>
        <w:tc>
          <w:tcPr>
            <w:tcW w:w="3148" w:type="dxa"/>
            <w:tcBorders>
              <w:top w:val="single" w:sz="4" w:space="0" w:color="auto"/>
              <w:left w:val="single" w:sz="4" w:space="0" w:color="auto"/>
              <w:bottom w:val="single" w:sz="4" w:space="0" w:color="auto"/>
              <w:right w:val="single" w:sz="4" w:space="0" w:color="auto"/>
            </w:tcBorders>
          </w:tcPr>
          <w:p w14:paraId="3A7D3C84" w14:textId="11D71067" w:rsidR="00102672" w:rsidRDefault="00102672" w:rsidP="007C70FF">
            <w:pPr>
              <w:pStyle w:val="DHHStabletext"/>
            </w:pPr>
            <w:r>
              <w:t xml:space="preserve">HACC-PYP </w:t>
            </w:r>
            <w:r w:rsidR="0097646B">
              <w:t>Annual Service Activity Report</w:t>
            </w:r>
          </w:p>
        </w:tc>
        <w:tc>
          <w:tcPr>
            <w:tcW w:w="2012" w:type="dxa"/>
            <w:tcBorders>
              <w:top w:val="single" w:sz="4" w:space="0" w:color="auto"/>
              <w:left w:val="single" w:sz="4" w:space="0" w:color="auto"/>
              <w:bottom w:val="single" w:sz="4" w:space="0" w:color="auto"/>
              <w:right w:val="single" w:sz="4" w:space="0" w:color="auto"/>
            </w:tcBorders>
          </w:tcPr>
          <w:p w14:paraId="71877030" w14:textId="77777777" w:rsidR="00102672" w:rsidRDefault="00102672" w:rsidP="007C70FF">
            <w:pPr>
              <w:pStyle w:val="DHHStabletext"/>
            </w:pPr>
            <w:r>
              <w:t>Word</w:t>
            </w:r>
          </w:p>
        </w:tc>
        <w:tc>
          <w:tcPr>
            <w:tcW w:w="2580" w:type="dxa"/>
            <w:tcBorders>
              <w:top w:val="single" w:sz="4" w:space="0" w:color="auto"/>
              <w:left w:val="single" w:sz="4" w:space="0" w:color="auto"/>
              <w:bottom w:val="single" w:sz="4" w:space="0" w:color="auto"/>
              <w:right w:val="single" w:sz="4" w:space="0" w:color="auto"/>
            </w:tcBorders>
          </w:tcPr>
          <w:p w14:paraId="73E7D247" w14:textId="77777777" w:rsidR="00102672" w:rsidRDefault="00102672" w:rsidP="007C70FF">
            <w:pPr>
              <w:pStyle w:val="DHHStabletext"/>
            </w:pPr>
            <w:r>
              <w:t xml:space="preserve">Qualitative </w:t>
            </w:r>
          </w:p>
        </w:tc>
        <w:tc>
          <w:tcPr>
            <w:tcW w:w="2508" w:type="dxa"/>
            <w:tcBorders>
              <w:top w:val="single" w:sz="4" w:space="0" w:color="auto"/>
              <w:left w:val="single" w:sz="4" w:space="0" w:color="auto"/>
              <w:bottom w:val="single" w:sz="4" w:space="0" w:color="auto"/>
              <w:right w:val="single" w:sz="4" w:space="0" w:color="auto"/>
            </w:tcBorders>
          </w:tcPr>
          <w:p w14:paraId="1F7ADCEA" w14:textId="77777777" w:rsidR="00102672" w:rsidRDefault="00102672" w:rsidP="007C70FF">
            <w:pPr>
              <w:pStyle w:val="DHHStabletext"/>
            </w:pPr>
            <w:r>
              <w:t>Annual</w:t>
            </w:r>
          </w:p>
        </w:tc>
      </w:tr>
    </w:tbl>
    <w:p w14:paraId="249C3DE4" w14:textId="77777777" w:rsidR="00C05FB7" w:rsidRDefault="00C05FB7" w:rsidP="00C05FB7">
      <w:pPr>
        <w:rPr>
          <w:sz w:val="18"/>
          <w:szCs w:val="4"/>
        </w:rPr>
      </w:pPr>
    </w:p>
    <w:tbl>
      <w:tblPr>
        <w:tblW w:w="5000" w:type="pct"/>
        <w:tblInd w:w="137" w:type="dxa"/>
        <w:tblCellMar>
          <w:top w:w="113" w:type="dxa"/>
          <w:bottom w:w="57" w:type="dxa"/>
        </w:tblCellMar>
        <w:tblLook w:val="00A0" w:firstRow="1" w:lastRow="0" w:firstColumn="1" w:lastColumn="0" w:noHBand="0" w:noVBand="0"/>
      </w:tblPr>
      <w:tblGrid>
        <w:gridCol w:w="10194"/>
      </w:tblGrid>
      <w:tr w:rsidR="00C05FB7" w14:paraId="239995D7" w14:textId="77777777" w:rsidTr="008D5CB5">
        <w:trPr>
          <w:cantSplit/>
        </w:trPr>
        <w:tc>
          <w:tcPr>
            <w:tcW w:w="5000" w:type="pct"/>
            <w:tcBorders>
              <w:top w:val="single" w:sz="4" w:space="0" w:color="auto"/>
              <w:left w:val="single" w:sz="4" w:space="0" w:color="auto"/>
              <w:bottom w:val="single" w:sz="4" w:space="0" w:color="auto"/>
              <w:right w:val="single" w:sz="4" w:space="0" w:color="auto"/>
            </w:tcBorders>
            <w:vAlign w:val="bottom"/>
            <w:hideMark/>
          </w:tcPr>
          <w:p w14:paraId="18FF153E" w14:textId="77777777" w:rsidR="00943F0D" w:rsidRDefault="00943F0D" w:rsidP="00943F0D">
            <w:pPr>
              <w:pStyle w:val="DHHSaccessibilitypara"/>
            </w:pPr>
            <w:r>
              <w:lastRenderedPageBreak/>
              <w:t xml:space="preserve">To receive this publication in an accessible format </w:t>
            </w:r>
            <w:hyperlink r:id="rId15" w:history="1">
              <w:r>
                <w:rPr>
                  <w:rStyle w:val="Hyperlink"/>
                </w:rPr>
                <w:t>email Service Agreement Policy</w:t>
              </w:r>
            </w:hyperlink>
            <w:r>
              <w:t xml:space="preserve"> &lt;</w:t>
            </w:r>
            <w:hyperlink r:id="rId16" w:history="1">
              <w:r>
                <w:rPr>
                  <w:rStyle w:val="Hyperlink"/>
                </w:rPr>
                <w:t>sapolicy@dhhs.vic.gov.au</w:t>
              </w:r>
            </w:hyperlink>
            <w:r>
              <w:t>&gt;</w:t>
            </w:r>
          </w:p>
          <w:p w14:paraId="0CDEB4F5" w14:textId="101F89BF" w:rsidR="00943F0D" w:rsidRDefault="00943F0D" w:rsidP="00943F0D">
            <w:pPr>
              <w:pStyle w:val="DHHSbody"/>
              <w:rPr>
                <w:sz w:val="16"/>
                <w:szCs w:val="16"/>
              </w:rPr>
            </w:pPr>
            <w:r>
              <w:rPr>
                <w:sz w:val="16"/>
                <w:szCs w:val="16"/>
              </w:rPr>
              <w:t xml:space="preserve">Authorised and published by the Victorian Government, 1 Treasury Place, Melbourne. © State of Victoria, Department of Health and Human Services, July 2019. </w:t>
            </w:r>
            <w:r w:rsidR="00174C79">
              <w:rPr>
                <w:sz w:val="16"/>
                <w:szCs w:val="16"/>
              </w:rPr>
              <w:t xml:space="preserve">Updated September 2020. </w:t>
            </w:r>
            <w:r>
              <w:rPr>
                <w:sz w:val="16"/>
                <w:szCs w:val="16"/>
              </w:rPr>
              <w:t>Where the term ‘Aboriginal’ is used it refers to both Aboriginal and Torres Strait Islander people. Indigenous is retained when it is part of the title of a report, program or quotation. ISSN 2207-8347 (online/PDF/Word)</w:t>
            </w:r>
          </w:p>
          <w:p w14:paraId="56D0CEC7" w14:textId="77777777" w:rsidR="00C05FB7" w:rsidRDefault="00943F0D" w:rsidP="00943F0D">
            <w:pPr>
              <w:pStyle w:val="DHHSbody"/>
              <w:spacing w:line="240" w:lineRule="auto"/>
            </w:pPr>
            <w:r>
              <w:t xml:space="preserve">Available on the department’s </w:t>
            </w:r>
            <w:hyperlink r:id="rId17" w:history="1">
              <w:r>
                <w:rPr>
                  <w:rStyle w:val="Hyperlink"/>
                </w:rPr>
                <w:t>Health and human services activity search</w:t>
              </w:r>
            </w:hyperlink>
            <w:r>
              <w:t xml:space="preserve"> &lt;</w:t>
            </w:r>
            <w:hyperlink r:id="rId18" w:history="1">
              <w:r>
                <w:rPr>
                  <w:rStyle w:val="Hyperlink"/>
                </w:rPr>
                <w:t>http://providers.dhhs.vic.gov.au/health-human-services-activity-search</w:t>
              </w:r>
            </w:hyperlink>
            <w:r>
              <w:rPr>
                <w:color w:val="000000"/>
              </w:rPr>
              <w:t>&gt;</w:t>
            </w:r>
          </w:p>
        </w:tc>
      </w:tr>
    </w:tbl>
    <w:p w14:paraId="56162202" w14:textId="77777777" w:rsidR="00C05FB7" w:rsidRDefault="00C05FB7" w:rsidP="00102672">
      <w:pPr>
        <w:rPr>
          <w:sz w:val="18"/>
          <w:szCs w:val="4"/>
        </w:rPr>
      </w:pPr>
    </w:p>
    <w:sectPr w:rsidR="00C05FB7" w:rsidSect="00266E69">
      <w:footerReference w:type="default" r:id="rId19"/>
      <w:footerReference w:type="first" r:id="rId20"/>
      <w:pgSz w:w="11906" w:h="16838" w:code="9"/>
      <w:pgMar w:top="567" w:right="851" w:bottom="1134" w:left="851" w:header="567" w:footer="510"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424974" w14:textId="77777777" w:rsidR="00377E7D" w:rsidRDefault="00377E7D">
      <w:r>
        <w:separator/>
      </w:r>
    </w:p>
  </w:endnote>
  <w:endnote w:type="continuationSeparator" w:id="0">
    <w:p w14:paraId="2807937F" w14:textId="77777777" w:rsidR="00377E7D" w:rsidRDefault="00377E7D">
      <w:r>
        <w:continuationSeparator/>
      </w:r>
    </w:p>
  </w:endnote>
  <w:endnote w:type="continuationNotice" w:id="1">
    <w:p w14:paraId="61D1E592" w14:textId="77777777" w:rsidR="00377E7D" w:rsidRDefault="00377E7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A7C39" w14:textId="77777777" w:rsidR="000C5BE7" w:rsidRDefault="000C5BE7" w:rsidP="0051568D">
    <w:pPr>
      <w:pStyle w:val="DHHSfooter"/>
    </w:pPr>
  </w:p>
  <w:p w14:paraId="7FCB0AE2" w14:textId="77777777" w:rsidR="00421E05" w:rsidRPr="00FF4F8F" w:rsidRDefault="00421E05" w:rsidP="00421E05">
    <w:pPr>
      <w:jc w:val="center"/>
      <w:rPr>
        <w:rFonts w:ascii="Arial Black" w:hAnsi="Arial Black"/>
        <w:b/>
        <w:bCs/>
      </w:rPr>
    </w:pPr>
    <w:r w:rsidRPr="00FF4F8F">
      <w:rPr>
        <w:rFonts w:ascii="Arial Black" w:hAnsi="Arial Black"/>
        <w:b/>
        <w:bCs/>
      </w:rPr>
      <w:t>OFFICIAL</w:t>
    </w:r>
  </w:p>
  <w:p w14:paraId="3081D4BC" w14:textId="77777777" w:rsidR="00421E05" w:rsidRDefault="00421E05" w:rsidP="00421E05">
    <w:pPr>
      <w:pStyle w:val="DHHSfooter"/>
      <w:jc w:val="center"/>
    </w:pPr>
  </w:p>
  <w:p w14:paraId="0FF2BCA1" w14:textId="204FCD40" w:rsidR="00C6002A" w:rsidRPr="00A11421" w:rsidRDefault="00174C79" w:rsidP="0051568D">
    <w:pPr>
      <w:pStyle w:val="DHHSfooter"/>
    </w:pPr>
    <w:r>
      <w:t>Aged Home Care</w:t>
    </w:r>
    <w:r w:rsidR="00C6002A">
      <w:t xml:space="preserve"> Home and Community Care Program for Younger People – Access and Support 13229</w:t>
    </w:r>
    <w:r w:rsidR="00C6002A">
      <w:tab/>
    </w:r>
    <w:r w:rsidR="00C6002A">
      <w:rPr>
        <w:noProof/>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A9F5B" w14:textId="77777777" w:rsidR="00421E05" w:rsidRPr="00FF4F8F" w:rsidRDefault="00421E05" w:rsidP="00421E05">
    <w:pPr>
      <w:jc w:val="center"/>
      <w:rPr>
        <w:rFonts w:ascii="Arial Black" w:hAnsi="Arial Black"/>
        <w:b/>
        <w:bCs/>
      </w:rPr>
    </w:pPr>
    <w:r w:rsidRPr="00FF4F8F">
      <w:rPr>
        <w:rFonts w:ascii="Arial Black" w:hAnsi="Arial Black"/>
        <w:b/>
        <w:bCs/>
      </w:rPr>
      <w:t>OFFICIAL</w:t>
    </w:r>
  </w:p>
  <w:p w14:paraId="34AEDD0E" w14:textId="77777777" w:rsidR="00FF5536" w:rsidRPr="00D94523" w:rsidRDefault="00FF5536" w:rsidP="00FF5536">
    <w:pPr>
      <w:jc w:val="center"/>
      <w:rPr>
        <w:rFonts w:ascii="Arial Black" w:hAnsi="Arial Black"/>
        <w:b/>
        <w:bCs/>
      </w:rPr>
    </w:pPr>
    <w:r w:rsidRPr="00D94523">
      <w:rPr>
        <w:rFonts w:ascii="Arial Black" w:hAnsi="Arial Black"/>
        <w:b/>
        <w:bCs/>
      </w:rPr>
      <w:t>OFFICIAL</w:t>
    </w:r>
  </w:p>
  <w:p w14:paraId="6CAADF62" w14:textId="627A49F5" w:rsidR="00C6002A" w:rsidRDefault="00C6002A">
    <w:pPr>
      <w:pStyle w:val="Footer"/>
    </w:pPr>
    <w:r>
      <w:rPr>
        <w:noProof/>
        <w:lang w:eastAsia="en-AU"/>
      </w:rPr>
      <w:drawing>
        <wp:anchor distT="0" distB="0" distL="114300" distR="114300" simplePos="0" relativeHeight="251658240" behindDoc="0" locked="0" layoutInCell="0" allowOverlap="1" wp14:anchorId="24EB3A5F" wp14:editId="08742355">
          <wp:simplePos x="0" y="0"/>
          <wp:positionH relativeFrom="page">
            <wp:posOffset>-635</wp:posOffset>
          </wp:positionH>
          <wp:positionV relativeFrom="page">
            <wp:posOffset>9893935</wp:posOffset>
          </wp:positionV>
          <wp:extent cx="7561580" cy="791210"/>
          <wp:effectExtent l="0" t="0" r="1270" b="8890"/>
          <wp:wrapNone/>
          <wp:docPr id="5" name="Picture 5"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35812" w14:textId="77777777" w:rsidR="00377E7D" w:rsidRDefault="00377E7D" w:rsidP="002862F1">
      <w:pPr>
        <w:spacing w:before="120"/>
      </w:pPr>
      <w:r>
        <w:separator/>
      </w:r>
    </w:p>
  </w:footnote>
  <w:footnote w:type="continuationSeparator" w:id="0">
    <w:p w14:paraId="557F1B2E" w14:textId="77777777" w:rsidR="00377E7D" w:rsidRDefault="00377E7D">
      <w:r>
        <w:continuationSeparator/>
      </w:r>
    </w:p>
  </w:footnote>
  <w:footnote w:type="continuationNotice" w:id="1">
    <w:p w14:paraId="7C59EA99" w14:textId="77777777" w:rsidR="00377E7D" w:rsidRDefault="00377E7D">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2A816D8"/>
    <w:multiLevelType w:val="hybridMultilevel"/>
    <w:tmpl w:val="1638B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7021462"/>
    <w:multiLevelType w:val="hybridMultilevel"/>
    <w:tmpl w:val="6EECF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8748D8"/>
    <w:multiLevelType w:val="multilevel"/>
    <w:tmpl w:val="971E05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027432"/>
    <w:multiLevelType w:val="hybridMultilevel"/>
    <w:tmpl w:val="D44E3A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8D43DB"/>
    <w:multiLevelType w:val="multilevel"/>
    <w:tmpl w:val="4B4E7622"/>
    <w:numStyleLink w:val="ZZNumbers"/>
  </w:abstractNum>
  <w:abstractNum w:abstractNumId="7" w15:restartNumberingAfterBreak="0">
    <w:nsid w:val="0FDB7830"/>
    <w:multiLevelType w:val="hybridMultilevel"/>
    <w:tmpl w:val="27962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7C2BD5"/>
    <w:multiLevelType w:val="hybridMultilevel"/>
    <w:tmpl w:val="70480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4177450F"/>
    <w:multiLevelType w:val="hybridMultilevel"/>
    <w:tmpl w:val="1C64B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6F60A89"/>
    <w:multiLevelType w:val="hybridMultilevel"/>
    <w:tmpl w:val="A31864C2"/>
    <w:lvl w:ilvl="0" w:tplc="81DE852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F6F79F3"/>
    <w:multiLevelType w:val="hybridMultilevel"/>
    <w:tmpl w:val="34BC9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0F27816"/>
    <w:multiLevelType w:val="hybridMultilevel"/>
    <w:tmpl w:val="B3ECD9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A673831"/>
    <w:multiLevelType w:val="hybridMultilevel"/>
    <w:tmpl w:val="A2144AF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46F1593"/>
    <w:multiLevelType w:val="hybridMultilevel"/>
    <w:tmpl w:val="CF8604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9"/>
  </w:num>
  <w:num w:numId="9">
    <w:abstractNumId w:val="13"/>
  </w:num>
  <w:num w:numId="10">
    <w:abstractNumId w:val="15"/>
  </w:num>
  <w:num w:numId="11">
    <w:abstractNumId w:val="10"/>
  </w:num>
  <w:num w:numId="12">
    <w:abstractNumId w:val="11"/>
  </w:num>
  <w:num w:numId="13">
    <w:abstractNumId w:val="7"/>
  </w:num>
  <w:num w:numId="14">
    <w:abstractNumId w:val="14"/>
  </w:num>
  <w:num w:numId="15">
    <w:abstractNumId w:val="2"/>
  </w:num>
  <w:num w:numId="16">
    <w:abstractNumId w:val="5"/>
  </w:num>
  <w:num w:numId="17">
    <w:abstractNumId w:val="8"/>
  </w:num>
  <w:num w:numId="18">
    <w:abstractNumId w:val="12"/>
  </w:num>
  <w:num w:numId="19">
    <w:abstractNumId w:val="16"/>
  </w:num>
  <w:num w:numId="20">
    <w:abstractNumId w:val="3"/>
  </w:num>
  <w:num w:numId="21">
    <w:abstractNumId w:val="12"/>
    <w:lvlOverride w:ilvl="0"/>
    <w:lvlOverride w:ilvl="1"/>
    <w:lvlOverride w:ilvl="2"/>
    <w:lvlOverride w:ilvl="3"/>
    <w:lvlOverride w:ilvl="4"/>
    <w:lvlOverride w:ilvl="5"/>
    <w:lvlOverride w:ilvl="6"/>
    <w:lvlOverride w:ilvl="7">
      <w:startOverride w:val="1"/>
    </w:lvlOverride>
    <w:lvlOverride w:ilvl="8">
      <w:startOverride w:val="1"/>
    </w:lvlOverride>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76"/>
    <w:rsid w:val="00006D4D"/>
    <w:rsid w:val="000072B6"/>
    <w:rsid w:val="0001021B"/>
    <w:rsid w:val="00011D89"/>
    <w:rsid w:val="000214DC"/>
    <w:rsid w:val="000219B7"/>
    <w:rsid w:val="00024D89"/>
    <w:rsid w:val="000250B6"/>
    <w:rsid w:val="00033D81"/>
    <w:rsid w:val="00041BF0"/>
    <w:rsid w:val="0004536B"/>
    <w:rsid w:val="00046B68"/>
    <w:rsid w:val="000509A9"/>
    <w:rsid w:val="000527DD"/>
    <w:rsid w:val="000578B2"/>
    <w:rsid w:val="00060959"/>
    <w:rsid w:val="0006497B"/>
    <w:rsid w:val="000663CD"/>
    <w:rsid w:val="000667DA"/>
    <w:rsid w:val="000733FE"/>
    <w:rsid w:val="00073F31"/>
    <w:rsid w:val="00074219"/>
    <w:rsid w:val="00074ED5"/>
    <w:rsid w:val="00081B8B"/>
    <w:rsid w:val="0009038C"/>
    <w:rsid w:val="0009113B"/>
    <w:rsid w:val="000918C3"/>
    <w:rsid w:val="00094DA3"/>
    <w:rsid w:val="00096CD1"/>
    <w:rsid w:val="000A012C"/>
    <w:rsid w:val="000A0EB9"/>
    <w:rsid w:val="000A186C"/>
    <w:rsid w:val="000B23FD"/>
    <w:rsid w:val="000B543D"/>
    <w:rsid w:val="000B5BF7"/>
    <w:rsid w:val="000B6BC8"/>
    <w:rsid w:val="000C42EA"/>
    <w:rsid w:val="000C4546"/>
    <w:rsid w:val="000C5BE7"/>
    <w:rsid w:val="000D1242"/>
    <w:rsid w:val="000D2C30"/>
    <w:rsid w:val="000D3756"/>
    <w:rsid w:val="000E3CC7"/>
    <w:rsid w:val="000E6BD4"/>
    <w:rsid w:val="000F1F1E"/>
    <w:rsid w:val="000F2259"/>
    <w:rsid w:val="00102672"/>
    <w:rsid w:val="0010392D"/>
    <w:rsid w:val="0010447F"/>
    <w:rsid w:val="00104FE3"/>
    <w:rsid w:val="00113B58"/>
    <w:rsid w:val="001141B7"/>
    <w:rsid w:val="00120AF7"/>
    <w:rsid w:val="00120BD3"/>
    <w:rsid w:val="00121D8F"/>
    <w:rsid w:val="00122FEA"/>
    <w:rsid w:val="001232BD"/>
    <w:rsid w:val="00124ED5"/>
    <w:rsid w:val="00130932"/>
    <w:rsid w:val="001447B3"/>
    <w:rsid w:val="00152073"/>
    <w:rsid w:val="00161939"/>
    <w:rsid w:val="00161AA0"/>
    <w:rsid w:val="00162093"/>
    <w:rsid w:val="0017293C"/>
    <w:rsid w:val="00174C79"/>
    <w:rsid w:val="001771DD"/>
    <w:rsid w:val="00177995"/>
    <w:rsid w:val="00177A8C"/>
    <w:rsid w:val="00186B33"/>
    <w:rsid w:val="00192F9D"/>
    <w:rsid w:val="00196ACA"/>
    <w:rsid w:val="00196EB8"/>
    <w:rsid w:val="001979FF"/>
    <w:rsid w:val="00197B17"/>
    <w:rsid w:val="001A2644"/>
    <w:rsid w:val="001A3ACE"/>
    <w:rsid w:val="001C1970"/>
    <w:rsid w:val="001C277E"/>
    <w:rsid w:val="001C2A72"/>
    <w:rsid w:val="001C72BA"/>
    <w:rsid w:val="001D03BC"/>
    <w:rsid w:val="001D0B75"/>
    <w:rsid w:val="001D3C09"/>
    <w:rsid w:val="001D44E8"/>
    <w:rsid w:val="001D60EC"/>
    <w:rsid w:val="001D6894"/>
    <w:rsid w:val="001E44DF"/>
    <w:rsid w:val="001E68A5"/>
    <w:rsid w:val="001E6BB0"/>
    <w:rsid w:val="001F3826"/>
    <w:rsid w:val="001F6E46"/>
    <w:rsid w:val="001F7C91"/>
    <w:rsid w:val="00201E42"/>
    <w:rsid w:val="00204F81"/>
    <w:rsid w:val="00206463"/>
    <w:rsid w:val="00206F2F"/>
    <w:rsid w:val="0021053D"/>
    <w:rsid w:val="00210A92"/>
    <w:rsid w:val="00213659"/>
    <w:rsid w:val="00216C03"/>
    <w:rsid w:val="00220C04"/>
    <w:rsid w:val="0022278D"/>
    <w:rsid w:val="0022701F"/>
    <w:rsid w:val="002333F5"/>
    <w:rsid w:val="00233724"/>
    <w:rsid w:val="00241843"/>
    <w:rsid w:val="002432E1"/>
    <w:rsid w:val="00246207"/>
    <w:rsid w:val="00246C5E"/>
    <w:rsid w:val="00251343"/>
    <w:rsid w:val="00254F58"/>
    <w:rsid w:val="0026000C"/>
    <w:rsid w:val="002620BC"/>
    <w:rsid w:val="00262802"/>
    <w:rsid w:val="00263A90"/>
    <w:rsid w:val="0026408B"/>
    <w:rsid w:val="00266E69"/>
    <w:rsid w:val="00267C3E"/>
    <w:rsid w:val="002709BB"/>
    <w:rsid w:val="00270C6F"/>
    <w:rsid w:val="002763B3"/>
    <w:rsid w:val="002802E3"/>
    <w:rsid w:val="0028213D"/>
    <w:rsid w:val="002862F1"/>
    <w:rsid w:val="00291373"/>
    <w:rsid w:val="00293D28"/>
    <w:rsid w:val="00293D6C"/>
    <w:rsid w:val="0029597D"/>
    <w:rsid w:val="002962C3"/>
    <w:rsid w:val="00297222"/>
    <w:rsid w:val="0029752B"/>
    <w:rsid w:val="002A2A58"/>
    <w:rsid w:val="002A483C"/>
    <w:rsid w:val="002B1729"/>
    <w:rsid w:val="002B3651"/>
    <w:rsid w:val="002B4129"/>
    <w:rsid w:val="002B4DD4"/>
    <w:rsid w:val="002B5277"/>
    <w:rsid w:val="002B5375"/>
    <w:rsid w:val="002B77C1"/>
    <w:rsid w:val="002B7F49"/>
    <w:rsid w:val="002C2728"/>
    <w:rsid w:val="002D1AA5"/>
    <w:rsid w:val="002D5006"/>
    <w:rsid w:val="002E01D0"/>
    <w:rsid w:val="002E161D"/>
    <w:rsid w:val="002E3100"/>
    <w:rsid w:val="002E6C95"/>
    <w:rsid w:val="002E7C36"/>
    <w:rsid w:val="002F5F31"/>
    <w:rsid w:val="002F5F46"/>
    <w:rsid w:val="002F7C4B"/>
    <w:rsid w:val="00302216"/>
    <w:rsid w:val="00302490"/>
    <w:rsid w:val="003033EA"/>
    <w:rsid w:val="00303E53"/>
    <w:rsid w:val="003063C6"/>
    <w:rsid w:val="00306E5F"/>
    <w:rsid w:val="00307E14"/>
    <w:rsid w:val="00314054"/>
    <w:rsid w:val="00316F27"/>
    <w:rsid w:val="003204AD"/>
    <w:rsid w:val="00327870"/>
    <w:rsid w:val="0033259D"/>
    <w:rsid w:val="00337C54"/>
    <w:rsid w:val="003406C6"/>
    <w:rsid w:val="003418CC"/>
    <w:rsid w:val="00341A78"/>
    <w:rsid w:val="003459BD"/>
    <w:rsid w:val="00350D38"/>
    <w:rsid w:val="003512C8"/>
    <w:rsid w:val="00351B36"/>
    <w:rsid w:val="00357B4E"/>
    <w:rsid w:val="003744CF"/>
    <w:rsid w:val="00374717"/>
    <w:rsid w:val="0037676C"/>
    <w:rsid w:val="00377E7D"/>
    <w:rsid w:val="003829E5"/>
    <w:rsid w:val="00382AFC"/>
    <w:rsid w:val="00383B59"/>
    <w:rsid w:val="003909CA"/>
    <w:rsid w:val="003918CC"/>
    <w:rsid w:val="003956CC"/>
    <w:rsid w:val="00395C9A"/>
    <w:rsid w:val="003A3D28"/>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0885"/>
    <w:rsid w:val="00401FCF"/>
    <w:rsid w:val="00406285"/>
    <w:rsid w:val="004148F9"/>
    <w:rsid w:val="0042084E"/>
    <w:rsid w:val="00421E05"/>
    <w:rsid w:val="00421EEF"/>
    <w:rsid w:val="00424D65"/>
    <w:rsid w:val="00442C6C"/>
    <w:rsid w:val="00443CBE"/>
    <w:rsid w:val="00443E8A"/>
    <w:rsid w:val="004441BC"/>
    <w:rsid w:val="004468B4"/>
    <w:rsid w:val="0045230A"/>
    <w:rsid w:val="00457337"/>
    <w:rsid w:val="00457807"/>
    <w:rsid w:val="0047372D"/>
    <w:rsid w:val="004743DD"/>
    <w:rsid w:val="00474CEA"/>
    <w:rsid w:val="00483968"/>
    <w:rsid w:val="00484F86"/>
    <w:rsid w:val="00490746"/>
    <w:rsid w:val="00490852"/>
    <w:rsid w:val="00492F30"/>
    <w:rsid w:val="004938D1"/>
    <w:rsid w:val="004946F4"/>
    <w:rsid w:val="0049487E"/>
    <w:rsid w:val="00495ADA"/>
    <w:rsid w:val="00495B8A"/>
    <w:rsid w:val="004A160D"/>
    <w:rsid w:val="004A3E81"/>
    <w:rsid w:val="004A5C62"/>
    <w:rsid w:val="004A707D"/>
    <w:rsid w:val="004C6EEE"/>
    <w:rsid w:val="004C702B"/>
    <w:rsid w:val="004D016B"/>
    <w:rsid w:val="004D1B22"/>
    <w:rsid w:val="004D36F2"/>
    <w:rsid w:val="004D476B"/>
    <w:rsid w:val="004E138F"/>
    <w:rsid w:val="004E4649"/>
    <w:rsid w:val="004E5C2B"/>
    <w:rsid w:val="004E6F1D"/>
    <w:rsid w:val="004F00DD"/>
    <w:rsid w:val="004F2133"/>
    <w:rsid w:val="004F4473"/>
    <w:rsid w:val="004F55F1"/>
    <w:rsid w:val="004F5F95"/>
    <w:rsid w:val="004F6936"/>
    <w:rsid w:val="005012D8"/>
    <w:rsid w:val="00503DC6"/>
    <w:rsid w:val="00506F5D"/>
    <w:rsid w:val="005126D0"/>
    <w:rsid w:val="0051568D"/>
    <w:rsid w:val="00526C15"/>
    <w:rsid w:val="005341EA"/>
    <w:rsid w:val="00536499"/>
    <w:rsid w:val="005409A4"/>
    <w:rsid w:val="00543903"/>
    <w:rsid w:val="00543F11"/>
    <w:rsid w:val="00547623"/>
    <w:rsid w:val="00547A95"/>
    <w:rsid w:val="005620F5"/>
    <w:rsid w:val="00564BF9"/>
    <w:rsid w:val="00570748"/>
    <w:rsid w:val="00572031"/>
    <w:rsid w:val="00575BC9"/>
    <w:rsid w:val="00575E84"/>
    <w:rsid w:val="00576C0B"/>
    <w:rsid w:val="00576E84"/>
    <w:rsid w:val="00582B8C"/>
    <w:rsid w:val="0058757E"/>
    <w:rsid w:val="005913A5"/>
    <w:rsid w:val="005938E5"/>
    <w:rsid w:val="00596A4B"/>
    <w:rsid w:val="00597507"/>
    <w:rsid w:val="005B1BCE"/>
    <w:rsid w:val="005B21B6"/>
    <w:rsid w:val="005B384F"/>
    <w:rsid w:val="005B3A08"/>
    <w:rsid w:val="005B4B4E"/>
    <w:rsid w:val="005B7A63"/>
    <w:rsid w:val="005C0955"/>
    <w:rsid w:val="005C4023"/>
    <w:rsid w:val="005C49DA"/>
    <w:rsid w:val="005C50F3"/>
    <w:rsid w:val="005C5D91"/>
    <w:rsid w:val="005C7CBC"/>
    <w:rsid w:val="005D07B8"/>
    <w:rsid w:val="005D4FB5"/>
    <w:rsid w:val="005D6597"/>
    <w:rsid w:val="005E14E7"/>
    <w:rsid w:val="005E1CA1"/>
    <w:rsid w:val="005E26A3"/>
    <w:rsid w:val="005E2B0F"/>
    <w:rsid w:val="005E447E"/>
    <w:rsid w:val="005E76EA"/>
    <w:rsid w:val="005F0775"/>
    <w:rsid w:val="005F0CF5"/>
    <w:rsid w:val="005F21EB"/>
    <w:rsid w:val="00605908"/>
    <w:rsid w:val="00610D7C"/>
    <w:rsid w:val="00613414"/>
    <w:rsid w:val="006206D2"/>
    <w:rsid w:val="0062259B"/>
    <w:rsid w:val="0062408D"/>
    <w:rsid w:val="006240CC"/>
    <w:rsid w:val="00627DA7"/>
    <w:rsid w:val="00633A5F"/>
    <w:rsid w:val="006358B4"/>
    <w:rsid w:val="006419AA"/>
    <w:rsid w:val="00644B7E"/>
    <w:rsid w:val="006454E6"/>
    <w:rsid w:val="00646A68"/>
    <w:rsid w:val="0065092E"/>
    <w:rsid w:val="006557A7"/>
    <w:rsid w:val="00656290"/>
    <w:rsid w:val="006621D7"/>
    <w:rsid w:val="0066302A"/>
    <w:rsid w:val="0066328F"/>
    <w:rsid w:val="00670597"/>
    <w:rsid w:val="006706D0"/>
    <w:rsid w:val="00673455"/>
    <w:rsid w:val="00676C23"/>
    <w:rsid w:val="00677574"/>
    <w:rsid w:val="0068454C"/>
    <w:rsid w:val="00691B62"/>
    <w:rsid w:val="00693D14"/>
    <w:rsid w:val="00694DAF"/>
    <w:rsid w:val="00697090"/>
    <w:rsid w:val="006A18C2"/>
    <w:rsid w:val="006A7939"/>
    <w:rsid w:val="006B077C"/>
    <w:rsid w:val="006B6803"/>
    <w:rsid w:val="006C5390"/>
    <w:rsid w:val="006C7A1F"/>
    <w:rsid w:val="006D2A3F"/>
    <w:rsid w:val="006D2FBC"/>
    <w:rsid w:val="006D72EA"/>
    <w:rsid w:val="006E138B"/>
    <w:rsid w:val="006F0FB0"/>
    <w:rsid w:val="006F1FDC"/>
    <w:rsid w:val="006F6592"/>
    <w:rsid w:val="007013EF"/>
    <w:rsid w:val="00706E3A"/>
    <w:rsid w:val="00710452"/>
    <w:rsid w:val="007173CA"/>
    <w:rsid w:val="007216AA"/>
    <w:rsid w:val="00721AB5"/>
    <w:rsid w:val="00721DEF"/>
    <w:rsid w:val="00724A43"/>
    <w:rsid w:val="00730DE2"/>
    <w:rsid w:val="007346E4"/>
    <w:rsid w:val="00737D2D"/>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16DA"/>
    <w:rsid w:val="00792324"/>
    <w:rsid w:val="00796E20"/>
    <w:rsid w:val="00797C32"/>
    <w:rsid w:val="007B0914"/>
    <w:rsid w:val="007B1374"/>
    <w:rsid w:val="007B292B"/>
    <w:rsid w:val="007B589F"/>
    <w:rsid w:val="007B6186"/>
    <w:rsid w:val="007B73BC"/>
    <w:rsid w:val="007B7E5D"/>
    <w:rsid w:val="007C0F0C"/>
    <w:rsid w:val="007C20B9"/>
    <w:rsid w:val="007C33F5"/>
    <w:rsid w:val="007C70FF"/>
    <w:rsid w:val="007C7301"/>
    <w:rsid w:val="007C7859"/>
    <w:rsid w:val="007D2932"/>
    <w:rsid w:val="007D2BDE"/>
    <w:rsid w:val="007D2F4A"/>
    <w:rsid w:val="007D2FB6"/>
    <w:rsid w:val="007E0DE2"/>
    <w:rsid w:val="007E3B98"/>
    <w:rsid w:val="007F0068"/>
    <w:rsid w:val="007F31B6"/>
    <w:rsid w:val="007F546C"/>
    <w:rsid w:val="007F625F"/>
    <w:rsid w:val="007F665E"/>
    <w:rsid w:val="00800412"/>
    <w:rsid w:val="0080228B"/>
    <w:rsid w:val="0080587B"/>
    <w:rsid w:val="00806468"/>
    <w:rsid w:val="008109CC"/>
    <w:rsid w:val="00813534"/>
    <w:rsid w:val="008155F0"/>
    <w:rsid w:val="008166AC"/>
    <w:rsid w:val="00816735"/>
    <w:rsid w:val="00820141"/>
    <w:rsid w:val="00820E0C"/>
    <w:rsid w:val="008237E6"/>
    <w:rsid w:val="00825DAC"/>
    <w:rsid w:val="008338A2"/>
    <w:rsid w:val="008343C5"/>
    <w:rsid w:val="008370FF"/>
    <w:rsid w:val="0084198D"/>
    <w:rsid w:val="00841AA9"/>
    <w:rsid w:val="00853EE4"/>
    <w:rsid w:val="00855535"/>
    <w:rsid w:val="0086255E"/>
    <w:rsid w:val="008633F0"/>
    <w:rsid w:val="00867D9D"/>
    <w:rsid w:val="00871222"/>
    <w:rsid w:val="00872E0A"/>
    <w:rsid w:val="00875285"/>
    <w:rsid w:val="0087683C"/>
    <w:rsid w:val="00884B62"/>
    <w:rsid w:val="0088529C"/>
    <w:rsid w:val="00886078"/>
    <w:rsid w:val="00887903"/>
    <w:rsid w:val="00891F05"/>
    <w:rsid w:val="0089270A"/>
    <w:rsid w:val="00893AF6"/>
    <w:rsid w:val="00894BC4"/>
    <w:rsid w:val="00895643"/>
    <w:rsid w:val="00897433"/>
    <w:rsid w:val="008A5B32"/>
    <w:rsid w:val="008B2EE4"/>
    <w:rsid w:val="008B4D3D"/>
    <w:rsid w:val="008B57C7"/>
    <w:rsid w:val="008C2F92"/>
    <w:rsid w:val="008D2846"/>
    <w:rsid w:val="008D4236"/>
    <w:rsid w:val="008D462F"/>
    <w:rsid w:val="008D5CB5"/>
    <w:rsid w:val="008D6DCF"/>
    <w:rsid w:val="008E09D5"/>
    <w:rsid w:val="008E32A7"/>
    <w:rsid w:val="008E4376"/>
    <w:rsid w:val="008E7A0A"/>
    <w:rsid w:val="00900719"/>
    <w:rsid w:val="009017AC"/>
    <w:rsid w:val="00902A83"/>
    <w:rsid w:val="00902F40"/>
    <w:rsid w:val="00904A1C"/>
    <w:rsid w:val="00905030"/>
    <w:rsid w:val="00906490"/>
    <w:rsid w:val="009111B2"/>
    <w:rsid w:val="00924AE1"/>
    <w:rsid w:val="009269B1"/>
    <w:rsid w:val="0092724D"/>
    <w:rsid w:val="00937BD9"/>
    <w:rsid w:val="00941C46"/>
    <w:rsid w:val="00943F0D"/>
    <w:rsid w:val="00945C00"/>
    <w:rsid w:val="00950DB3"/>
    <w:rsid w:val="00950E2C"/>
    <w:rsid w:val="00951D50"/>
    <w:rsid w:val="009525EB"/>
    <w:rsid w:val="00954874"/>
    <w:rsid w:val="00954CB5"/>
    <w:rsid w:val="00961400"/>
    <w:rsid w:val="00963646"/>
    <w:rsid w:val="00975658"/>
    <w:rsid w:val="00976266"/>
    <w:rsid w:val="0097646B"/>
    <w:rsid w:val="009818E4"/>
    <w:rsid w:val="009853E1"/>
    <w:rsid w:val="00986E6B"/>
    <w:rsid w:val="00991769"/>
    <w:rsid w:val="00994386"/>
    <w:rsid w:val="00994789"/>
    <w:rsid w:val="009949B7"/>
    <w:rsid w:val="00997084"/>
    <w:rsid w:val="009A13D8"/>
    <w:rsid w:val="009A279E"/>
    <w:rsid w:val="009A49FD"/>
    <w:rsid w:val="009B0A6F"/>
    <w:rsid w:val="009B0A94"/>
    <w:rsid w:val="009B59E9"/>
    <w:rsid w:val="009B70AA"/>
    <w:rsid w:val="009C7A7E"/>
    <w:rsid w:val="009D02E8"/>
    <w:rsid w:val="009D51D0"/>
    <w:rsid w:val="009D70A4"/>
    <w:rsid w:val="009E08D1"/>
    <w:rsid w:val="009E1B95"/>
    <w:rsid w:val="009E496F"/>
    <w:rsid w:val="009E4B0D"/>
    <w:rsid w:val="009E5954"/>
    <w:rsid w:val="009E5B33"/>
    <w:rsid w:val="009E7F92"/>
    <w:rsid w:val="009F02A3"/>
    <w:rsid w:val="009F2F27"/>
    <w:rsid w:val="009F34AA"/>
    <w:rsid w:val="009F6BCB"/>
    <w:rsid w:val="009F7B78"/>
    <w:rsid w:val="00A0057A"/>
    <w:rsid w:val="00A11421"/>
    <w:rsid w:val="00A1170B"/>
    <w:rsid w:val="00A11FC5"/>
    <w:rsid w:val="00A157B1"/>
    <w:rsid w:val="00A177B7"/>
    <w:rsid w:val="00A20D71"/>
    <w:rsid w:val="00A22229"/>
    <w:rsid w:val="00A32449"/>
    <w:rsid w:val="00A41097"/>
    <w:rsid w:val="00A44882"/>
    <w:rsid w:val="00A45638"/>
    <w:rsid w:val="00A541F0"/>
    <w:rsid w:val="00A54715"/>
    <w:rsid w:val="00A55C16"/>
    <w:rsid w:val="00A6061C"/>
    <w:rsid w:val="00A619BF"/>
    <w:rsid w:val="00A62D44"/>
    <w:rsid w:val="00A6446D"/>
    <w:rsid w:val="00A67263"/>
    <w:rsid w:val="00A7161C"/>
    <w:rsid w:val="00A73C5B"/>
    <w:rsid w:val="00A76022"/>
    <w:rsid w:val="00A77AA3"/>
    <w:rsid w:val="00A81477"/>
    <w:rsid w:val="00A842F2"/>
    <w:rsid w:val="00A853B2"/>
    <w:rsid w:val="00A854EB"/>
    <w:rsid w:val="00A872E5"/>
    <w:rsid w:val="00A91406"/>
    <w:rsid w:val="00A96E65"/>
    <w:rsid w:val="00A97C72"/>
    <w:rsid w:val="00A97FA7"/>
    <w:rsid w:val="00AA0F86"/>
    <w:rsid w:val="00AA3CA8"/>
    <w:rsid w:val="00AA63D4"/>
    <w:rsid w:val="00AA7900"/>
    <w:rsid w:val="00AB06E8"/>
    <w:rsid w:val="00AB1CD3"/>
    <w:rsid w:val="00AB352F"/>
    <w:rsid w:val="00AB7789"/>
    <w:rsid w:val="00AC274B"/>
    <w:rsid w:val="00AC4764"/>
    <w:rsid w:val="00AC6D36"/>
    <w:rsid w:val="00AC70C3"/>
    <w:rsid w:val="00AD01D4"/>
    <w:rsid w:val="00AD0CBA"/>
    <w:rsid w:val="00AD26E2"/>
    <w:rsid w:val="00AD3998"/>
    <w:rsid w:val="00AD784C"/>
    <w:rsid w:val="00AE126A"/>
    <w:rsid w:val="00AE3005"/>
    <w:rsid w:val="00AE3BD5"/>
    <w:rsid w:val="00AE59A0"/>
    <w:rsid w:val="00AF0C57"/>
    <w:rsid w:val="00AF26F3"/>
    <w:rsid w:val="00AF5F04"/>
    <w:rsid w:val="00AF6ECF"/>
    <w:rsid w:val="00B00672"/>
    <w:rsid w:val="00B01B4D"/>
    <w:rsid w:val="00B06571"/>
    <w:rsid w:val="00B068BA"/>
    <w:rsid w:val="00B13851"/>
    <w:rsid w:val="00B13B1C"/>
    <w:rsid w:val="00B22291"/>
    <w:rsid w:val="00B2304B"/>
    <w:rsid w:val="00B23F9A"/>
    <w:rsid w:val="00B2417B"/>
    <w:rsid w:val="00B24E6F"/>
    <w:rsid w:val="00B26CB5"/>
    <w:rsid w:val="00B2752E"/>
    <w:rsid w:val="00B307CC"/>
    <w:rsid w:val="00B326B7"/>
    <w:rsid w:val="00B431E8"/>
    <w:rsid w:val="00B43952"/>
    <w:rsid w:val="00B43DD0"/>
    <w:rsid w:val="00B45141"/>
    <w:rsid w:val="00B47DDA"/>
    <w:rsid w:val="00B5273A"/>
    <w:rsid w:val="00B54AE8"/>
    <w:rsid w:val="00B60B63"/>
    <w:rsid w:val="00B61261"/>
    <w:rsid w:val="00B62B50"/>
    <w:rsid w:val="00B635B7"/>
    <w:rsid w:val="00B63AE8"/>
    <w:rsid w:val="00B65950"/>
    <w:rsid w:val="00B66D83"/>
    <w:rsid w:val="00B672C0"/>
    <w:rsid w:val="00B70F76"/>
    <w:rsid w:val="00B7459A"/>
    <w:rsid w:val="00B75646"/>
    <w:rsid w:val="00B82070"/>
    <w:rsid w:val="00B8690F"/>
    <w:rsid w:val="00B90729"/>
    <w:rsid w:val="00B907DA"/>
    <w:rsid w:val="00B950BC"/>
    <w:rsid w:val="00B9714C"/>
    <w:rsid w:val="00BA2CBD"/>
    <w:rsid w:val="00BA3F8D"/>
    <w:rsid w:val="00BA5A87"/>
    <w:rsid w:val="00BA6D1B"/>
    <w:rsid w:val="00BB42F0"/>
    <w:rsid w:val="00BB7A10"/>
    <w:rsid w:val="00BC200C"/>
    <w:rsid w:val="00BC383A"/>
    <w:rsid w:val="00BC7468"/>
    <w:rsid w:val="00BC7D4F"/>
    <w:rsid w:val="00BC7ED7"/>
    <w:rsid w:val="00BD2850"/>
    <w:rsid w:val="00BE28D2"/>
    <w:rsid w:val="00BE4A64"/>
    <w:rsid w:val="00BE6052"/>
    <w:rsid w:val="00BF7F58"/>
    <w:rsid w:val="00C00791"/>
    <w:rsid w:val="00C01381"/>
    <w:rsid w:val="00C05FB7"/>
    <w:rsid w:val="00C079B8"/>
    <w:rsid w:val="00C123EA"/>
    <w:rsid w:val="00C12A49"/>
    <w:rsid w:val="00C133EE"/>
    <w:rsid w:val="00C14B0E"/>
    <w:rsid w:val="00C17889"/>
    <w:rsid w:val="00C27201"/>
    <w:rsid w:val="00C27DE9"/>
    <w:rsid w:val="00C33388"/>
    <w:rsid w:val="00C35484"/>
    <w:rsid w:val="00C4173A"/>
    <w:rsid w:val="00C45981"/>
    <w:rsid w:val="00C6002A"/>
    <w:rsid w:val="00C602FF"/>
    <w:rsid w:val="00C61174"/>
    <w:rsid w:val="00C6148F"/>
    <w:rsid w:val="00C62F7A"/>
    <w:rsid w:val="00C63B9C"/>
    <w:rsid w:val="00C6682F"/>
    <w:rsid w:val="00C7275E"/>
    <w:rsid w:val="00C74C5D"/>
    <w:rsid w:val="00C863C4"/>
    <w:rsid w:val="00C865A0"/>
    <w:rsid w:val="00C93C3E"/>
    <w:rsid w:val="00CA12E3"/>
    <w:rsid w:val="00CA217D"/>
    <w:rsid w:val="00CA4422"/>
    <w:rsid w:val="00CA6611"/>
    <w:rsid w:val="00CA6AE6"/>
    <w:rsid w:val="00CA782F"/>
    <w:rsid w:val="00CA78EA"/>
    <w:rsid w:val="00CB3041"/>
    <w:rsid w:val="00CB40D5"/>
    <w:rsid w:val="00CC0C72"/>
    <w:rsid w:val="00CC2BFD"/>
    <w:rsid w:val="00CC3FB0"/>
    <w:rsid w:val="00CD3476"/>
    <w:rsid w:val="00CD64DF"/>
    <w:rsid w:val="00CF2F50"/>
    <w:rsid w:val="00D02919"/>
    <w:rsid w:val="00D04C61"/>
    <w:rsid w:val="00D05B8D"/>
    <w:rsid w:val="00D065A2"/>
    <w:rsid w:val="00D07F00"/>
    <w:rsid w:val="00D11FCF"/>
    <w:rsid w:val="00D1443D"/>
    <w:rsid w:val="00D15BCD"/>
    <w:rsid w:val="00D17B72"/>
    <w:rsid w:val="00D3185C"/>
    <w:rsid w:val="00D33E72"/>
    <w:rsid w:val="00D35BD6"/>
    <w:rsid w:val="00D361B5"/>
    <w:rsid w:val="00D411A2"/>
    <w:rsid w:val="00D41790"/>
    <w:rsid w:val="00D4606D"/>
    <w:rsid w:val="00D50697"/>
    <w:rsid w:val="00D50B9C"/>
    <w:rsid w:val="00D52D73"/>
    <w:rsid w:val="00D52E58"/>
    <w:rsid w:val="00D537C0"/>
    <w:rsid w:val="00D53DD3"/>
    <w:rsid w:val="00D5565D"/>
    <w:rsid w:val="00D70802"/>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4E5C"/>
    <w:rsid w:val="00DE6028"/>
    <w:rsid w:val="00DE78A3"/>
    <w:rsid w:val="00DF1A71"/>
    <w:rsid w:val="00DF4F1C"/>
    <w:rsid w:val="00DF68C7"/>
    <w:rsid w:val="00DF6BAF"/>
    <w:rsid w:val="00DF731A"/>
    <w:rsid w:val="00E02F23"/>
    <w:rsid w:val="00E05E8D"/>
    <w:rsid w:val="00E06429"/>
    <w:rsid w:val="00E06CF9"/>
    <w:rsid w:val="00E170DC"/>
    <w:rsid w:val="00E26818"/>
    <w:rsid w:val="00E27FFC"/>
    <w:rsid w:val="00E30B15"/>
    <w:rsid w:val="00E3181C"/>
    <w:rsid w:val="00E327EB"/>
    <w:rsid w:val="00E40181"/>
    <w:rsid w:val="00E47991"/>
    <w:rsid w:val="00E519DF"/>
    <w:rsid w:val="00E53D0C"/>
    <w:rsid w:val="00E56A01"/>
    <w:rsid w:val="00E629A1"/>
    <w:rsid w:val="00E71591"/>
    <w:rsid w:val="00E82C55"/>
    <w:rsid w:val="00E92AC3"/>
    <w:rsid w:val="00EA201A"/>
    <w:rsid w:val="00EB00E0"/>
    <w:rsid w:val="00EB442C"/>
    <w:rsid w:val="00EC059F"/>
    <w:rsid w:val="00EC1F24"/>
    <w:rsid w:val="00EC22F6"/>
    <w:rsid w:val="00EC27BC"/>
    <w:rsid w:val="00EC4117"/>
    <w:rsid w:val="00ED5B9B"/>
    <w:rsid w:val="00ED6BAD"/>
    <w:rsid w:val="00ED7447"/>
    <w:rsid w:val="00EE1488"/>
    <w:rsid w:val="00EE4D5D"/>
    <w:rsid w:val="00EE5131"/>
    <w:rsid w:val="00EF109B"/>
    <w:rsid w:val="00EF36AF"/>
    <w:rsid w:val="00EF5F27"/>
    <w:rsid w:val="00EF6358"/>
    <w:rsid w:val="00F00F9C"/>
    <w:rsid w:val="00F01E5F"/>
    <w:rsid w:val="00F02ABA"/>
    <w:rsid w:val="00F0437A"/>
    <w:rsid w:val="00F11037"/>
    <w:rsid w:val="00F16F1B"/>
    <w:rsid w:val="00F223F5"/>
    <w:rsid w:val="00F250A9"/>
    <w:rsid w:val="00F302C9"/>
    <w:rsid w:val="00F30FF4"/>
    <w:rsid w:val="00F3122E"/>
    <w:rsid w:val="00F331AD"/>
    <w:rsid w:val="00F35287"/>
    <w:rsid w:val="00F425DA"/>
    <w:rsid w:val="00F43A37"/>
    <w:rsid w:val="00F4641B"/>
    <w:rsid w:val="00F46EB8"/>
    <w:rsid w:val="00F5036C"/>
    <w:rsid w:val="00F506CE"/>
    <w:rsid w:val="00F511E4"/>
    <w:rsid w:val="00F52D09"/>
    <w:rsid w:val="00F52E08"/>
    <w:rsid w:val="00F5481C"/>
    <w:rsid w:val="00F55B21"/>
    <w:rsid w:val="00F56EF6"/>
    <w:rsid w:val="00F61A9F"/>
    <w:rsid w:val="00F64696"/>
    <w:rsid w:val="00F65AA9"/>
    <w:rsid w:val="00F6768F"/>
    <w:rsid w:val="00F72A56"/>
    <w:rsid w:val="00F72C2C"/>
    <w:rsid w:val="00F76CAB"/>
    <w:rsid w:val="00F772C6"/>
    <w:rsid w:val="00F815B5"/>
    <w:rsid w:val="00F85195"/>
    <w:rsid w:val="00F87FCF"/>
    <w:rsid w:val="00F922BE"/>
    <w:rsid w:val="00F938BA"/>
    <w:rsid w:val="00FA2C46"/>
    <w:rsid w:val="00FA3525"/>
    <w:rsid w:val="00FB4CDA"/>
    <w:rsid w:val="00FC0F81"/>
    <w:rsid w:val="00FC395C"/>
    <w:rsid w:val="00FC5CAB"/>
    <w:rsid w:val="00FD3766"/>
    <w:rsid w:val="00FD42D5"/>
    <w:rsid w:val="00FD47C4"/>
    <w:rsid w:val="00FE2DCF"/>
    <w:rsid w:val="00FE4946"/>
    <w:rsid w:val="00FF2FCE"/>
    <w:rsid w:val="00FF4F7D"/>
    <w:rsid w:val="00FF5536"/>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62C5B377"/>
  <w15:docId w15:val="{182AD19A-F773-442A-8E77-58999ED6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76"/>
    <w:pPr>
      <w:spacing w:before="100" w:line="288" w:lineRule="auto"/>
    </w:pPr>
    <w:rPr>
      <w:rFonts w:ascii="Arial" w:hAnsi="Arial"/>
    </w:rPr>
  </w:style>
  <w:style w:type="paragraph" w:styleId="Heading1">
    <w:name w:val="heading 1"/>
    <w:next w:val="DHHSbody"/>
    <w:link w:val="Heading1Char"/>
    <w:autoRedefine/>
    <w:uiPriority w:val="1"/>
    <w:qFormat/>
    <w:rsid w:val="00943F0D"/>
    <w:pPr>
      <w:keepNext/>
      <w:keepLines/>
      <w:spacing w:before="320" w:after="200" w:line="440" w:lineRule="atLeast"/>
      <w:outlineLvl w:val="0"/>
    </w:pPr>
    <w:rPr>
      <w:rFonts w:ascii="Arial" w:eastAsia="MS Gothic" w:hAnsi="Arial" w:cs="Arial"/>
      <w:b/>
      <w:bCs/>
      <w:color w:val="201547"/>
      <w:kern w:val="32"/>
      <w:sz w:val="28"/>
      <w:szCs w:val="40"/>
      <w:lang w:eastAsia="en-US"/>
    </w:rPr>
  </w:style>
  <w:style w:type="paragraph" w:styleId="Heading2">
    <w:name w:val="heading 2"/>
    <w:next w:val="DHHSbody"/>
    <w:link w:val="Heading2Char"/>
    <w:autoRedefine/>
    <w:uiPriority w:val="1"/>
    <w:qFormat/>
    <w:rsid w:val="00943F0D"/>
    <w:pPr>
      <w:keepNext/>
      <w:keepLines/>
      <w:spacing w:before="240" w:after="90" w:line="320" w:lineRule="atLeast"/>
      <w:outlineLvl w:val="1"/>
    </w:pPr>
    <w:rPr>
      <w:rFonts w:ascii="Arial" w:hAnsi="Arial"/>
      <w:b/>
      <w:color w:val="201547"/>
      <w:sz w:val="22"/>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43F0D"/>
    <w:rPr>
      <w:rFonts w:ascii="Arial" w:eastAsia="MS Gothic" w:hAnsi="Arial" w:cs="Arial"/>
      <w:b/>
      <w:bCs/>
      <w:color w:val="201547"/>
      <w:kern w:val="32"/>
      <w:sz w:val="28"/>
      <w:szCs w:val="40"/>
      <w:lang w:eastAsia="en-US"/>
    </w:rPr>
  </w:style>
  <w:style w:type="character" w:customStyle="1" w:styleId="Heading2Char">
    <w:name w:val="Heading 2 Char"/>
    <w:link w:val="Heading2"/>
    <w:uiPriority w:val="1"/>
    <w:rsid w:val="00943F0D"/>
    <w:rPr>
      <w:rFonts w:ascii="Arial" w:hAnsi="Arial"/>
      <w:b/>
      <w:color w:val="201547"/>
      <w:sz w:val="22"/>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DHHSbodyChar">
    <w:name w:val="DHHS body Char"/>
    <w:link w:val="DHHSbody"/>
    <w:locked/>
    <w:rsid w:val="00B70F76"/>
    <w:rPr>
      <w:rFonts w:ascii="Arial" w:eastAsia="Times" w:hAnsi="Arial"/>
      <w:lang w:eastAsia="en-US"/>
    </w:rPr>
  </w:style>
  <w:style w:type="paragraph" w:styleId="NormalIndent">
    <w:name w:val="Normal Indent"/>
    <w:basedOn w:val="Normal"/>
    <w:rsid w:val="00575BC9"/>
    <w:pPr>
      <w:ind w:left="709"/>
    </w:pPr>
    <w:rPr>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customStyle="1" w:styleId="Instructiontext">
    <w:name w:val="Instruction text"/>
    <w:basedOn w:val="DHHSbody"/>
    <w:qFormat/>
    <w:rsid w:val="00575BC9"/>
    <w:pPr>
      <w:spacing w:before="120"/>
    </w:pPr>
    <w:rPr>
      <w:rFonts w:cs="Arial"/>
      <w:color w:val="87189D"/>
    </w:rPr>
  </w:style>
  <w:style w:type="paragraph" w:customStyle="1" w:styleId="DHHStablecolhead">
    <w:name w:val="DHHS table col head"/>
    <w:uiPriority w:val="99"/>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eastAsia="MS Gothic"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3"/>
      </w:numPr>
    </w:pPr>
  </w:style>
  <w:style w:type="paragraph" w:customStyle="1" w:styleId="DHHSnumberloweralphaindent">
    <w:name w:val="DHHS number lower alpha indent"/>
    <w:basedOn w:val="DHHSbody"/>
    <w:uiPriority w:val="3"/>
    <w:rsid w:val="00152073"/>
    <w:pPr>
      <w:numPr>
        <w:ilvl w:val="3"/>
        <w:numId w:val="3"/>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3"/>
      </w:numPr>
    </w:pPr>
  </w:style>
  <w:style w:type="paragraph" w:customStyle="1" w:styleId="DHHSnumberlowerroman">
    <w:name w:val="DHHS number lower roman"/>
    <w:basedOn w:val="DHHSbody"/>
    <w:uiPriority w:val="3"/>
    <w:rsid w:val="00152073"/>
    <w:pPr>
      <w:numPr>
        <w:ilvl w:val="4"/>
        <w:numId w:val="3"/>
      </w:numPr>
    </w:pPr>
  </w:style>
  <w:style w:type="paragraph" w:customStyle="1" w:styleId="DHHSnumberlowerromanindent">
    <w:name w:val="DHHS number lower roman indent"/>
    <w:basedOn w:val="DHHSbody"/>
    <w:uiPriority w:val="3"/>
    <w:rsid w:val="00152073"/>
    <w:pPr>
      <w:numPr>
        <w:ilvl w:val="5"/>
        <w:numId w:val="3"/>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09038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38C"/>
    <w:rPr>
      <w:rFonts w:ascii="Tahoma" w:hAnsi="Tahoma" w:cs="Tahoma"/>
      <w:sz w:val="16"/>
      <w:szCs w:val="16"/>
    </w:rPr>
  </w:style>
  <w:style w:type="character" w:customStyle="1" w:styleId="Purple">
    <w:name w:val="Purple"/>
    <w:basedOn w:val="DefaultParagraphFont"/>
    <w:rsid w:val="00BC383A"/>
    <w:rPr>
      <w:color w:val="990099"/>
    </w:rPr>
  </w:style>
  <w:style w:type="paragraph" w:styleId="ListParagraph">
    <w:name w:val="List Paragraph"/>
    <w:basedOn w:val="Normal"/>
    <w:uiPriority w:val="72"/>
    <w:qFormat/>
    <w:rsid w:val="00730DE2"/>
    <w:pPr>
      <w:ind w:left="720"/>
      <w:contextualSpacing/>
    </w:pPr>
  </w:style>
  <w:style w:type="paragraph" w:customStyle="1" w:styleId="paragraph">
    <w:name w:val="paragraph"/>
    <w:basedOn w:val="Normal"/>
    <w:rsid w:val="00AF6ECF"/>
    <w:pPr>
      <w:spacing w:before="0" w:line="240" w:lineRule="auto"/>
    </w:pPr>
    <w:rPr>
      <w:rFonts w:ascii="Times New Roman" w:hAnsi="Times New Roman"/>
      <w:sz w:val="24"/>
      <w:szCs w:val="24"/>
    </w:rPr>
  </w:style>
  <w:style w:type="character" w:customStyle="1" w:styleId="normaltextrun1">
    <w:name w:val="normaltextrun1"/>
    <w:basedOn w:val="DefaultParagraphFont"/>
    <w:rsid w:val="00AF6ECF"/>
  </w:style>
  <w:style w:type="character" w:customStyle="1" w:styleId="eop">
    <w:name w:val="eop"/>
    <w:basedOn w:val="DefaultParagraphFont"/>
    <w:rsid w:val="00AF6ECF"/>
  </w:style>
  <w:style w:type="character" w:styleId="UnresolvedMention">
    <w:name w:val="Unresolved Mention"/>
    <w:basedOn w:val="DefaultParagraphFont"/>
    <w:uiPriority w:val="99"/>
    <w:semiHidden/>
    <w:unhideWhenUsed/>
    <w:rsid w:val="00576C0B"/>
    <w:rPr>
      <w:color w:val="605E5C"/>
      <w:shd w:val="clear" w:color="auto" w:fill="E1DFDD"/>
    </w:rPr>
  </w:style>
  <w:style w:type="character" w:styleId="CommentReference">
    <w:name w:val="annotation reference"/>
    <w:basedOn w:val="DefaultParagraphFont"/>
    <w:uiPriority w:val="99"/>
    <w:semiHidden/>
    <w:unhideWhenUsed/>
    <w:rsid w:val="00495B8A"/>
    <w:rPr>
      <w:sz w:val="16"/>
      <w:szCs w:val="16"/>
    </w:rPr>
  </w:style>
  <w:style w:type="paragraph" w:styleId="CommentText">
    <w:name w:val="annotation text"/>
    <w:basedOn w:val="Normal"/>
    <w:link w:val="CommentTextChar"/>
    <w:uiPriority w:val="99"/>
    <w:semiHidden/>
    <w:unhideWhenUsed/>
    <w:rsid w:val="00495B8A"/>
    <w:pPr>
      <w:spacing w:line="240" w:lineRule="auto"/>
    </w:pPr>
  </w:style>
  <w:style w:type="character" w:customStyle="1" w:styleId="CommentTextChar">
    <w:name w:val="Comment Text Char"/>
    <w:basedOn w:val="DefaultParagraphFont"/>
    <w:link w:val="CommentText"/>
    <w:uiPriority w:val="99"/>
    <w:semiHidden/>
    <w:rsid w:val="00495B8A"/>
    <w:rPr>
      <w:rFonts w:ascii="Arial" w:hAnsi="Arial"/>
    </w:rPr>
  </w:style>
  <w:style w:type="paragraph" w:styleId="CommentSubject">
    <w:name w:val="annotation subject"/>
    <w:basedOn w:val="CommentText"/>
    <w:next w:val="CommentText"/>
    <w:link w:val="CommentSubjectChar"/>
    <w:uiPriority w:val="99"/>
    <w:semiHidden/>
    <w:unhideWhenUsed/>
    <w:rsid w:val="00495B8A"/>
    <w:rPr>
      <w:b/>
      <w:bCs/>
    </w:rPr>
  </w:style>
  <w:style w:type="character" w:customStyle="1" w:styleId="CommentSubjectChar">
    <w:name w:val="Comment Subject Char"/>
    <w:basedOn w:val="CommentTextChar"/>
    <w:link w:val="CommentSubject"/>
    <w:uiPriority w:val="99"/>
    <w:semiHidden/>
    <w:rsid w:val="00495B8A"/>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876998">
      <w:bodyDiv w:val="1"/>
      <w:marLeft w:val="0"/>
      <w:marRight w:val="0"/>
      <w:marTop w:val="0"/>
      <w:marBottom w:val="0"/>
      <w:divBdr>
        <w:top w:val="none" w:sz="0" w:space="0" w:color="auto"/>
        <w:left w:val="none" w:sz="0" w:space="0" w:color="auto"/>
        <w:bottom w:val="none" w:sz="0" w:space="0" w:color="auto"/>
        <w:right w:val="none" w:sz="0" w:space="0" w:color="auto"/>
      </w:divBdr>
    </w:div>
    <w:div w:id="1121461499">
      <w:bodyDiv w:val="1"/>
      <w:marLeft w:val="0"/>
      <w:marRight w:val="0"/>
      <w:marTop w:val="0"/>
      <w:marBottom w:val="0"/>
      <w:divBdr>
        <w:top w:val="none" w:sz="0" w:space="0" w:color="auto"/>
        <w:left w:val="none" w:sz="0" w:space="0" w:color="auto"/>
        <w:bottom w:val="none" w:sz="0" w:space="0" w:color="auto"/>
        <w:right w:val="none" w:sz="0" w:space="0" w:color="auto"/>
      </w:divBdr>
    </w:div>
    <w:div w:id="1353608237">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49204636">
      <w:bodyDiv w:val="1"/>
      <w:marLeft w:val="0"/>
      <w:marRight w:val="0"/>
      <w:marTop w:val="0"/>
      <w:marBottom w:val="0"/>
      <w:divBdr>
        <w:top w:val="none" w:sz="0" w:space="0" w:color="auto"/>
        <w:left w:val="none" w:sz="0" w:space="0" w:color="auto"/>
        <w:bottom w:val="none" w:sz="0" w:space="0" w:color="auto"/>
        <w:right w:val="none" w:sz="0" w:space="0" w:color="auto"/>
      </w:divBdr>
    </w:div>
    <w:div w:id="1784760225">
      <w:bodyDiv w:val="1"/>
      <w:marLeft w:val="0"/>
      <w:marRight w:val="0"/>
      <w:marTop w:val="0"/>
      <w:marBottom w:val="0"/>
      <w:divBdr>
        <w:top w:val="none" w:sz="0" w:space="0" w:color="auto"/>
        <w:left w:val="none" w:sz="0" w:space="0" w:color="auto"/>
        <w:bottom w:val="none" w:sz="0" w:space="0" w:color="auto"/>
        <w:right w:val="none" w:sz="0" w:space="0" w:color="auto"/>
      </w:divBdr>
      <w:divsChild>
        <w:div w:id="1332830898">
          <w:marLeft w:val="0"/>
          <w:marRight w:val="0"/>
          <w:marTop w:val="0"/>
          <w:marBottom w:val="0"/>
          <w:divBdr>
            <w:top w:val="none" w:sz="0" w:space="0" w:color="auto"/>
            <w:left w:val="none" w:sz="0" w:space="0" w:color="auto"/>
            <w:bottom w:val="none" w:sz="0" w:space="0" w:color="auto"/>
            <w:right w:val="none" w:sz="0" w:space="0" w:color="auto"/>
          </w:divBdr>
          <w:divsChild>
            <w:div w:id="2101489843">
              <w:marLeft w:val="0"/>
              <w:marRight w:val="0"/>
              <w:marTop w:val="0"/>
              <w:marBottom w:val="0"/>
              <w:divBdr>
                <w:top w:val="none" w:sz="0" w:space="0" w:color="auto"/>
                <w:left w:val="none" w:sz="0" w:space="0" w:color="auto"/>
                <w:bottom w:val="none" w:sz="0" w:space="0" w:color="auto"/>
                <w:right w:val="none" w:sz="0" w:space="0" w:color="auto"/>
              </w:divBdr>
              <w:divsChild>
                <w:div w:id="1947737730">
                  <w:marLeft w:val="0"/>
                  <w:marRight w:val="0"/>
                  <w:marTop w:val="0"/>
                  <w:marBottom w:val="0"/>
                  <w:divBdr>
                    <w:top w:val="none" w:sz="0" w:space="0" w:color="auto"/>
                    <w:left w:val="none" w:sz="0" w:space="0" w:color="auto"/>
                    <w:bottom w:val="none" w:sz="0" w:space="0" w:color="auto"/>
                    <w:right w:val="none" w:sz="0" w:space="0" w:color="auto"/>
                  </w:divBdr>
                  <w:divsChild>
                    <w:div w:id="1212956856">
                      <w:marLeft w:val="0"/>
                      <w:marRight w:val="0"/>
                      <w:marTop w:val="0"/>
                      <w:marBottom w:val="0"/>
                      <w:divBdr>
                        <w:top w:val="none" w:sz="0" w:space="0" w:color="auto"/>
                        <w:left w:val="none" w:sz="0" w:space="0" w:color="auto"/>
                        <w:bottom w:val="none" w:sz="0" w:space="0" w:color="auto"/>
                        <w:right w:val="none" w:sz="0" w:space="0" w:color="auto"/>
                      </w:divBdr>
                      <w:divsChild>
                        <w:div w:id="463038373">
                          <w:marLeft w:val="0"/>
                          <w:marRight w:val="0"/>
                          <w:marTop w:val="0"/>
                          <w:marBottom w:val="0"/>
                          <w:divBdr>
                            <w:top w:val="none" w:sz="0" w:space="0" w:color="auto"/>
                            <w:left w:val="none" w:sz="0" w:space="0" w:color="auto"/>
                            <w:bottom w:val="none" w:sz="0" w:space="0" w:color="auto"/>
                            <w:right w:val="none" w:sz="0" w:space="0" w:color="auto"/>
                          </w:divBdr>
                          <w:divsChild>
                            <w:div w:id="663748875">
                              <w:marLeft w:val="0"/>
                              <w:marRight w:val="0"/>
                              <w:marTop w:val="0"/>
                              <w:marBottom w:val="0"/>
                              <w:divBdr>
                                <w:top w:val="none" w:sz="0" w:space="0" w:color="auto"/>
                                <w:left w:val="none" w:sz="0" w:space="0" w:color="auto"/>
                                <w:bottom w:val="none" w:sz="0" w:space="0" w:color="auto"/>
                                <w:right w:val="none" w:sz="0" w:space="0" w:color="auto"/>
                              </w:divBdr>
                              <w:divsChild>
                                <w:div w:id="649866454">
                                  <w:marLeft w:val="0"/>
                                  <w:marRight w:val="0"/>
                                  <w:marTop w:val="0"/>
                                  <w:marBottom w:val="0"/>
                                  <w:divBdr>
                                    <w:top w:val="none" w:sz="0" w:space="0" w:color="auto"/>
                                    <w:left w:val="none" w:sz="0" w:space="0" w:color="auto"/>
                                    <w:bottom w:val="none" w:sz="0" w:space="0" w:color="auto"/>
                                    <w:right w:val="none" w:sz="0" w:space="0" w:color="auto"/>
                                  </w:divBdr>
                                  <w:divsChild>
                                    <w:div w:id="714353651">
                                      <w:marLeft w:val="0"/>
                                      <w:marRight w:val="0"/>
                                      <w:marTop w:val="0"/>
                                      <w:marBottom w:val="0"/>
                                      <w:divBdr>
                                        <w:top w:val="none" w:sz="0" w:space="0" w:color="auto"/>
                                        <w:left w:val="none" w:sz="0" w:space="0" w:color="auto"/>
                                        <w:bottom w:val="none" w:sz="0" w:space="0" w:color="auto"/>
                                        <w:right w:val="none" w:sz="0" w:space="0" w:color="auto"/>
                                      </w:divBdr>
                                      <w:divsChild>
                                        <w:div w:id="1098260677">
                                          <w:marLeft w:val="0"/>
                                          <w:marRight w:val="0"/>
                                          <w:marTop w:val="0"/>
                                          <w:marBottom w:val="0"/>
                                          <w:divBdr>
                                            <w:top w:val="none" w:sz="0" w:space="0" w:color="auto"/>
                                            <w:left w:val="none" w:sz="0" w:space="0" w:color="auto"/>
                                            <w:bottom w:val="none" w:sz="0" w:space="0" w:color="auto"/>
                                            <w:right w:val="none" w:sz="0" w:space="0" w:color="auto"/>
                                          </w:divBdr>
                                          <w:divsChild>
                                            <w:div w:id="1514958998">
                                              <w:marLeft w:val="0"/>
                                              <w:marRight w:val="0"/>
                                              <w:marTop w:val="0"/>
                                              <w:marBottom w:val="0"/>
                                              <w:divBdr>
                                                <w:top w:val="none" w:sz="0" w:space="0" w:color="auto"/>
                                                <w:left w:val="none" w:sz="0" w:space="0" w:color="auto"/>
                                                <w:bottom w:val="none" w:sz="0" w:space="0" w:color="auto"/>
                                                <w:right w:val="none" w:sz="0" w:space="0" w:color="auto"/>
                                              </w:divBdr>
                                              <w:divsChild>
                                                <w:div w:id="1798180781">
                                                  <w:marLeft w:val="0"/>
                                                  <w:marRight w:val="0"/>
                                                  <w:marTop w:val="0"/>
                                                  <w:marBottom w:val="480"/>
                                                  <w:divBdr>
                                                    <w:top w:val="none" w:sz="0" w:space="0" w:color="auto"/>
                                                    <w:left w:val="none" w:sz="0" w:space="0" w:color="auto"/>
                                                    <w:bottom w:val="none" w:sz="0" w:space="0" w:color="auto"/>
                                                    <w:right w:val="none" w:sz="0" w:space="0" w:color="auto"/>
                                                  </w:divBdr>
                                                  <w:divsChild>
                                                    <w:div w:id="540244069">
                                                      <w:marLeft w:val="0"/>
                                                      <w:marRight w:val="0"/>
                                                      <w:marTop w:val="0"/>
                                                      <w:marBottom w:val="0"/>
                                                      <w:divBdr>
                                                        <w:top w:val="single" w:sz="6" w:space="0" w:color="auto"/>
                                                        <w:left w:val="none" w:sz="0" w:space="0" w:color="auto"/>
                                                        <w:bottom w:val="single" w:sz="6" w:space="0" w:color="auto"/>
                                                        <w:right w:val="none" w:sz="0" w:space="0" w:color="auto"/>
                                                      </w:divBdr>
                                                      <w:divsChild>
                                                        <w:div w:id="1508862150">
                                                          <w:marLeft w:val="0"/>
                                                          <w:marRight w:val="0"/>
                                                          <w:marTop w:val="0"/>
                                                          <w:marBottom w:val="0"/>
                                                          <w:divBdr>
                                                            <w:top w:val="none" w:sz="0" w:space="0" w:color="auto"/>
                                                            <w:left w:val="none" w:sz="0" w:space="0" w:color="auto"/>
                                                            <w:bottom w:val="none" w:sz="0" w:space="0" w:color="auto"/>
                                                            <w:right w:val="none" w:sz="0" w:space="0" w:color="auto"/>
                                                          </w:divBdr>
                                                          <w:divsChild>
                                                            <w:div w:id="2074349288">
                                                              <w:marLeft w:val="0"/>
                                                              <w:marRight w:val="0"/>
                                                              <w:marTop w:val="0"/>
                                                              <w:marBottom w:val="0"/>
                                                              <w:divBdr>
                                                                <w:top w:val="none" w:sz="0" w:space="0" w:color="auto"/>
                                                                <w:left w:val="none" w:sz="0" w:space="0" w:color="auto"/>
                                                                <w:bottom w:val="none" w:sz="0" w:space="0" w:color="auto"/>
                                                                <w:right w:val="none" w:sz="0" w:space="0" w:color="auto"/>
                                                              </w:divBdr>
                                                              <w:divsChild>
                                                                <w:div w:id="1823161388">
                                                                  <w:marLeft w:val="0"/>
                                                                  <w:marRight w:val="0"/>
                                                                  <w:marTop w:val="0"/>
                                                                  <w:marBottom w:val="0"/>
                                                                  <w:divBdr>
                                                                    <w:top w:val="none" w:sz="0" w:space="0" w:color="auto"/>
                                                                    <w:left w:val="none" w:sz="0" w:space="0" w:color="auto"/>
                                                                    <w:bottom w:val="none" w:sz="0" w:space="0" w:color="auto"/>
                                                                    <w:right w:val="none" w:sz="0" w:space="0" w:color="auto"/>
                                                                  </w:divBdr>
                                                                  <w:divsChild>
                                                                    <w:div w:id="1869442402">
                                                                      <w:marLeft w:val="0"/>
                                                                      <w:marRight w:val="0"/>
                                                                      <w:marTop w:val="0"/>
                                                                      <w:marBottom w:val="0"/>
                                                                      <w:divBdr>
                                                                        <w:top w:val="none" w:sz="0" w:space="0" w:color="auto"/>
                                                                        <w:left w:val="none" w:sz="0" w:space="0" w:color="auto"/>
                                                                        <w:bottom w:val="none" w:sz="0" w:space="0" w:color="auto"/>
                                                                        <w:right w:val="none" w:sz="0" w:space="0" w:color="auto"/>
                                                                      </w:divBdr>
                                                                      <w:divsChild>
                                                                        <w:div w:id="1116801438">
                                                                          <w:marLeft w:val="0"/>
                                                                          <w:marRight w:val="0"/>
                                                                          <w:marTop w:val="0"/>
                                                                          <w:marBottom w:val="0"/>
                                                                          <w:divBdr>
                                                                            <w:top w:val="none" w:sz="0" w:space="0" w:color="auto"/>
                                                                            <w:left w:val="none" w:sz="0" w:space="0" w:color="auto"/>
                                                                            <w:bottom w:val="none" w:sz="0" w:space="0" w:color="auto"/>
                                                                            <w:right w:val="none" w:sz="0" w:space="0" w:color="auto"/>
                                                                          </w:divBdr>
                                                                          <w:divsChild>
                                                                            <w:div w:id="374818716">
                                                                              <w:marLeft w:val="0"/>
                                                                              <w:marRight w:val="0"/>
                                                                              <w:marTop w:val="0"/>
                                                                              <w:marBottom w:val="0"/>
                                                                              <w:divBdr>
                                                                                <w:top w:val="none" w:sz="0" w:space="0" w:color="auto"/>
                                                                                <w:left w:val="none" w:sz="0" w:space="0" w:color="auto"/>
                                                                                <w:bottom w:val="none" w:sz="0" w:space="0" w:color="auto"/>
                                                                                <w:right w:val="none" w:sz="0" w:space="0" w:color="auto"/>
                                                                              </w:divBdr>
                                                                              <w:divsChild>
                                                                                <w:div w:id="699670197">
                                                                                  <w:marLeft w:val="0"/>
                                                                                  <w:marRight w:val="0"/>
                                                                                  <w:marTop w:val="0"/>
                                                                                  <w:marBottom w:val="0"/>
                                                                                  <w:divBdr>
                                                                                    <w:top w:val="none" w:sz="0" w:space="0" w:color="auto"/>
                                                                                    <w:left w:val="none" w:sz="0" w:space="0" w:color="auto"/>
                                                                                    <w:bottom w:val="none" w:sz="0" w:space="0" w:color="auto"/>
                                                                                    <w:right w:val="none" w:sz="0" w:space="0" w:color="auto"/>
                                                                                  </w:divBdr>
                                                                                  <w:divsChild>
                                                                                    <w:div w:id="891959725">
                                                                                      <w:marLeft w:val="0"/>
                                                                                      <w:marRight w:val="0"/>
                                                                                      <w:marTop w:val="0"/>
                                                                                      <w:marBottom w:val="0"/>
                                                                                      <w:divBdr>
                                                                                        <w:top w:val="none" w:sz="0" w:space="0" w:color="auto"/>
                                                                                        <w:left w:val="none" w:sz="0" w:space="0" w:color="auto"/>
                                                                                        <w:bottom w:val="none" w:sz="0" w:space="0" w:color="auto"/>
                                                                                        <w:right w:val="none" w:sz="0" w:space="0" w:color="auto"/>
                                                                                      </w:divBdr>
                                                                                    </w:div>
                                                                                  </w:divsChild>
                                                                                </w:div>
                                                                                <w:div w:id="77706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hyperlink" Target="about:blan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bout:blank"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1ef5222-d273-4e86-adbf-8aa3d9e99a84">
      <UserInfo>
        <DisplayName>SAComms (DHHS)</DisplayName>
        <AccountId>34</AccountId>
        <AccountType/>
      </UserInfo>
      <UserInfo>
        <DisplayName>Maria Tsekouras (DHHS)</DisplayName>
        <AccountId>35</AccountId>
        <AccountType/>
      </UserInfo>
      <UserInfo>
        <DisplayName>Feodora Fomin (DHHS)</DisplayName>
        <AccountId>10</AccountId>
        <AccountType/>
      </UserInfo>
      <UserInfo>
        <DisplayName>Louise Crowther (DHHS)</DisplayName>
        <AccountId>9</AccountId>
        <AccountType/>
      </UserInfo>
    </SharedWithUsers>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8FFDA-BA2C-4CB2-A9F4-9CD5E48BBCF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fd516b9-533a-4c39-aa95-d1ccfc9bb0de"/>
    <ds:schemaRef ds:uri="a0a1cdb3-76af-40bd-93b0-f7d150250ba2"/>
    <ds:schemaRef ds:uri="http://www.w3.org/XML/1998/namespace"/>
    <ds:schemaRef ds:uri="http://purl.org/dc/dcmitype/"/>
  </ds:schemaRefs>
</ds:datastoreItem>
</file>

<file path=customXml/itemProps2.xml><?xml version="1.0" encoding="utf-8"?>
<ds:datastoreItem xmlns:ds="http://schemas.openxmlformats.org/officeDocument/2006/customXml" ds:itemID="{0A04D93D-9CF7-4A97-94C9-54C336669600}"/>
</file>

<file path=customXml/itemProps3.xml><?xml version="1.0" encoding="utf-8"?>
<ds:datastoreItem xmlns:ds="http://schemas.openxmlformats.org/officeDocument/2006/customXml" ds:itemID="{36963E4D-44A2-453C-9326-F8C465076766}">
  <ds:schemaRefs>
    <ds:schemaRef ds:uri="http://schemas.microsoft.com/sharepoint/v3/contenttype/forms"/>
  </ds:schemaRefs>
</ds:datastoreItem>
</file>

<file path=customXml/itemProps4.xml><?xml version="1.0" encoding="utf-8"?>
<ds:datastoreItem xmlns:ds="http://schemas.openxmlformats.org/officeDocument/2006/customXml" ds:itemID="{33AADE7D-1293-4EB6-8994-8A73E2907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Health and Human Services</Company>
  <LinksUpToDate>false</LinksUpToDate>
  <CharactersWithSpaces>5139</CharactersWithSpaces>
  <SharedDoc>false</SharedDoc>
  <HyperlinkBase/>
  <HLinks>
    <vt:vector size="24" baseType="variant">
      <vt:variant>
        <vt:i4>3473445</vt:i4>
      </vt:variant>
      <vt:variant>
        <vt:i4>9</vt:i4>
      </vt:variant>
      <vt:variant>
        <vt:i4>0</vt:i4>
      </vt:variant>
      <vt:variant>
        <vt:i4>5</vt:i4>
      </vt:variant>
      <vt:variant>
        <vt:lpwstr>http://providers.dhhs.vic.gov.au/health-human-services-activity-search</vt:lpwstr>
      </vt:variant>
      <vt:variant>
        <vt:lpwstr/>
      </vt:variant>
      <vt:variant>
        <vt:i4>3473445</vt:i4>
      </vt:variant>
      <vt:variant>
        <vt:i4>6</vt:i4>
      </vt:variant>
      <vt:variant>
        <vt:i4>0</vt:i4>
      </vt:variant>
      <vt:variant>
        <vt:i4>5</vt:i4>
      </vt:variant>
      <vt:variant>
        <vt:lpwstr>http://providers.dhhs.vic.gov.au/health-human-services-activity-search</vt:lpwstr>
      </vt:variant>
      <vt:variant>
        <vt:lpwstr/>
      </vt:variant>
      <vt:variant>
        <vt:i4>5242992</vt:i4>
      </vt:variant>
      <vt:variant>
        <vt:i4>3</vt:i4>
      </vt:variant>
      <vt:variant>
        <vt:i4>0</vt:i4>
      </vt:variant>
      <vt:variant>
        <vt:i4>5</vt:i4>
      </vt:variant>
      <vt:variant>
        <vt:lpwstr>mailto:sapolicy@dhhs.vic.gov.au</vt:lpwstr>
      </vt:variant>
      <vt:variant>
        <vt:lpwstr/>
      </vt:variant>
      <vt:variant>
        <vt:i4>5242992</vt:i4>
      </vt:variant>
      <vt:variant>
        <vt:i4>0</vt:i4>
      </vt:variant>
      <vt:variant>
        <vt:i4>0</vt:i4>
      </vt:variant>
      <vt:variant>
        <vt:i4>5</vt:i4>
      </vt:variant>
      <vt:variant>
        <vt:lpwstr>mailto:sapolicy@dhhs.vic.gov.au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service agreement activity description</dc:subject>
  <dc:creator>Service Agreement Policy unit</dc:creator>
  <cp:keywords>service agreement; activity description; health; aged and home care; Home and Community Care - Access and Support;13229</cp:keywords>
  <cp:lastModifiedBy>Benjamin Mallinson</cp:lastModifiedBy>
  <cp:revision>2</cp:revision>
  <cp:lastPrinted>2019-04-12T22:51:00Z</cp:lastPrinted>
  <dcterms:created xsi:type="dcterms:W3CDTF">2020-09-29T23:51:00Z</dcterms:created>
  <dcterms:modified xsi:type="dcterms:W3CDTF">2020-09-29T23:51:00Z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efdf5488-3066-4b6c-8fea-9472b8a1f34c_Enabled">
    <vt:lpwstr>true</vt:lpwstr>
  </property>
  <property fmtid="{D5CDD505-2E9C-101B-9397-08002B2CF9AE}" pid="4" name="MSIP_Label_efdf5488-3066-4b6c-8fea-9472b8a1f34c_SetDate">
    <vt:lpwstr>2020-08-20T01:42:21Z</vt:lpwstr>
  </property>
  <property fmtid="{D5CDD505-2E9C-101B-9397-08002B2CF9AE}" pid="5" name="MSIP_Label_efdf5488-3066-4b6c-8fea-9472b8a1f34c_Method">
    <vt:lpwstr>Privileged</vt:lpwstr>
  </property>
  <property fmtid="{D5CDD505-2E9C-101B-9397-08002B2CF9AE}" pid="6" name="MSIP_Label_efdf5488-3066-4b6c-8fea-9472b8a1f34c_Name">
    <vt:lpwstr>efdf5488-3066-4b6c-8fea-9472b8a1f34c</vt:lpwstr>
  </property>
  <property fmtid="{D5CDD505-2E9C-101B-9397-08002B2CF9AE}" pid="7" name="MSIP_Label_efdf5488-3066-4b6c-8fea-9472b8a1f34c_SiteId">
    <vt:lpwstr>c0e0601f-0fac-449c-9c88-a104c4eb9f28</vt:lpwstr>
  </property>
  <property fmtid="{D5CDD505-2E9C-101B-9397-08002B2CF9AE}" pid="8" name="MSIP_Label_efdf5488-3066-4b6c-8fea-9472b8a1f34c_ActionId">
    <vt:lpwstr>0ffa729f-3e28-4597-8824-a078026d15eb</vt:lpwstr>
  </property>
  <property fmtid="{D5CDD505-2E9C-101B-9397-08002B2CF9AE}" pid="9" name="MSIP_Label_efdf5488-3066-4b6c-8fea-9472b8a1f34c_ContentBits">
    <vt:lpwstr>0</vt:lpwstr>
  </property>
  <property fmtid="{D5CDD505-2E9C-101B-9397-08002B2CF9AE}" pid="10" name="ContentTypeId">
    <vt:lpwstr>0x0101009F0C4347C5C6D34BA8C9FCC4F57D19B6</vt:lpwstr>
  </property>
  <property fmtid="{D5CDD505-2E9C-101B-9397-08002B2CF9AE}" pid="11" name="Order">
    <vt:r8>34100</vt:r8>
  </property>
  <property fmtid="{D5CDD505-2E9C-101B-9397-08002B2CF9AE}" pid="12" name="ComplianceAssetId">
    <vt:lpwstr/>
  </property>
</Properties>
</file>