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HACC-PYP Health Supports 13223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language-services-policy" TargetMode="External"/>
<Relationship Id="rId12" Type="http://schemas.openxmlformats.org/officeDocument/2006/relationships/hyperlink" Target="https://www.health.vic.gov.au/health-strategies/aboriginal-health" TargetMode="External"/>
<Relationship Id="rId13" Type="http://schemas.openxmlformats.org/officeDocument/2006/relationships/hyperlink" Target="https://www.firstpeoplesrelations.vic.gov.au/victorian-aboriginal-affairs-framework" TargetMode="External"/>
<Relationship Id="rId14" Type="http://schemas.openxmlformats.org/officeDocument/2006/relationships/hyperlink" Target="https://www.health.vic.gov.au/home-and-community-care/hacc-program-for-younger-people" TargetMode="External"/>
<Relationship Id="rId15" Type="http://schemas.openxmlformats.org/officeDocument/2006/relationships/hyperlink" Target="https://www.health.vic.gov.au/sites/default/files/2025-07/policy-guide-policy-and-funding-guidelines-2025-26.docx" TargetMode="External"/>
<Relationship Id="rId16" Type="http://schemas.openxmlformats.org/officeDocument/2006/relationships/hyperlink" Target="https://www.health.vic.gov.au/home-and-community-care/reporting-and-data" TargetMode="External"/>
<Relationship Id="rId17" Type="http://schemas.openxmlformats.org/officeDocument/2006/relationships/hyperlink" Target="https://www.health.vic.gov.au/home-and-community-care/hacc-pyp-fees-policy-and-schedule-of-fees" TargetMode="External"/>
<Relationship Id="rId18" Type="http://schemas.openxmlformats.org/officeDocument/2006/relationships/hyperlink" Target="http://providers.dffh.vic.gov.au/families-fairness-housing-health-activity-search" TargetMode="External"/>
<Relationship Id="rId19"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HACC-PYP Health Supports</w:t>
            </w:r>
          </w:p>
          <w:p>
            <w:pPr>
              <w:spacing w:line="560" w:lineRule="atLeast"/>
              <w:rPr>
                <w:rFonts w:ascii="Arial" w:hAnsi="Arial" w:eastAsia="Arial" w:cs="Arial"/>
                <w:color w:val="201547"/>
                <w:sz w:val="44"/>
              </w:rPr>
            </w:pPr>
            <w:r>
              <w:rPr>
                <w:rFonts w:ascii="Arial" w:hAnsi="Arial" w:eastAsia="Arial" w:cs="Arial"/>
                <w:color w:val="201547"/>
                <w:sz w:val="44"/>
              </w:rPr>
              <w:t>13223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Ageing, Aged and Home Care</w:t>
            </w:r>
          </w:p>
          <w:p>
            <w:pPr>
              <w:spacing w:after="120"/>
              <w:rPr>
                <w:rFonts w:ascii="Arial" w:hAnsi="Arial" w:eastAsia="Arial" w:cs="Arial"/>
                <w:color w:val="201547"/>
                <w:sz w:val="28"/>
              </w:rPr>
            </w:pPr>
            <w:r>
              <w:rPr>
                <w:rFonts w:ascii="Arial" w:hAnsi="Arial" w:eastAsia="Arial" w:cs="Arial"/>
                <w:color w:val="201547"/>
                <w:sz w:val="28"/>
              </w:rPr>
              <w:t>Output: HACC Primary Health, Community Care and Support</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Home and Community Care Program for Younger People (HACC PYP) aims to improve and maintain independence and capacity of people in Victoria to live safely at home and participate in community activities.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deliver Health Supports the following are provided to assist the client to live as independently as possible including to support capacity building and enablement: </w:t>
      </w:r>
      <w:r>
        <w:br/>
      </w:r>
      <w:r>
        <w:br/>
      </w:r>
      <w:r>
        <w:rPr>
          <w:rFonts w:ascii="Arial" w:hAnsi="Arial" w:eastAsia="Arial" w:cs="Arial"/>
          <w:color w:val="000000"/>
          <w:sz w:val="20"/>
        </w:rPr>
        <w:t>• Professional nursing care including assessment and direct clinical care to manage chronic disease and attain or maintain good health, mobility and safety at home.</w:t>
      </w:r>
      <w:r>
        <w:br/>
      </w:r>
      <w:r>
        <w:rPr>
          <w:rFonts w:ascii="Arial" w:hAnsi="Arial" w:eastAsia="Arial" w:cs="Arial"/>
          <w:color w:val="000000"/>
          <w:sz w:val="20"/>
        </w:rPr>
        <w:t>• Nursing education, advice, training and supervision designed to improve the client’s capacity to independently manage everyday activities. This includes training and supervising staff who provide the HACC PYP Personal and In-home Supports (Community Care).</w:t>
      </w:r>
      <w:r>
        <w:br/>
      </w:r>
      <w:r>
        <w:rPr>
          <w:rFonts w:ascii="Arial" w:hAnsi="Arial" w:eastAsia="Arial" w:cs="Arial"/>
          <w:color w:val="000000"/>
          <w:sz w:val="20"/>
        </w:rPr>
        <w:t xml:space="preserve">• Provision of allied health services, including clinical assessment, treatment, therapy or professional advice, that is provided in the client’s home or at a centre. Allied health disciplines to be delivered in each local government area include podiatry, occupational therapy, speech pathology, dietetics, physiotherapy, and counselling.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aged under 65 years or under 50 years for Aboriginal and Torres Strait Islanders, who have difficulty performing activities of daily living.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Aboriginal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&lt;https://www.health.vic.gov.au/health-strategies/aboriginal-health&gt;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Victorian Aboriginal Affairs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&lt;https://www.firstpeoplesrelations.vic.gov.au/victorian-aboriginal-affairs-framework&gt;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HACC PYP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&lt;https://www.health.vic.gov.au/home-and-community-care/hacc-program-for-younger-people&gt;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&lt;https://www.health.vic.gov.au/sites/default/files/2025-07/policy-guide-policy-and-funding-guidelines-2025-26.docx&gt;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HACC PYP data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&lt;https://www.health.vic.gov.au/home-and-community-care/reporting-and-data&gt;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HACC PYP Fees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&lt;https://www.health.vic.gov.au/home-and-community-care/hacc-pyp-fees-policy-and-schedule-of-fees&gt;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nursing and allied health support provided to individual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hours in the reporting period spent directly with clients and groups, and the indirect hours spent related to clients or groups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Service Support Minimum Data Set (VCSS 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Direct time is the time spent in activities directly servicing the client or a family member/significant other of a client (this is particularly relevant where a parent or carer is being provided with education or coaching, or another activity that supports the service being provided) e.g. face-to-face, email, video link, telephone communication.   </w:t>
            </w:r>
            <w:r>
              <w:br/>
            </w:r>
            <w:r>
              <w:br/>
            </w:r>
            <w:r>
              <w:rPr>
                <w:rFonts w:ascii="Arial" w:hAnsi="Arial" w:eastAsia="Arial" w:cs="Arial"/>
                <w:color w:val="000000"/>
                <w:sz w:val="20"/>
              </w:rPr>
              <w:t>Indirect care refers to services provided to clients that don't involve direct face-to-face contact but are still essential for their support.. Includes time spent on activities such as organising case meetings, preparing case notes, referral, clinical supervision, preparation for group sessions, secondary consultation, preparation for not attended sessions.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hours of worker time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worker time that is not direct or indirect time related to Nurse Consultant and Nursing – Continence Nurse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hours the worker has worked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Service Support Minimum Data Set (VCSS 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Hours or worker time excluding Direct time and Indirect time using the worker.</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Submission of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fees collected for HACC PYP and to measure the expenditure on wound consumables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fees collected for the HACC PYP during the reporting period.</w:t>
            </w:r>
            <w:r>
              <w:br/>
            </w:r>
            <w:r>
              <w:rPr>
                <w:rFonts w:ascii="Arial" w:hAnsi="Arial" w:eastAsia="Arial" w:cs="Arial"/>
                <w:color w:val="000000"/>
                <w:sz w:val="20"/>
              </w:rPr>
              <w:t>Count the expenditure on wound consumables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 PYP Fee Report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 PYP Wound consumables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Record the fees collected - to be provided on request  </w:t>
            </w:r>
            <w:r>
              <w:br/>
            </w:r>
            <w:r>
              <w:rPr>
                <w:rFonts w:ascii="Arial" w:hAnsi="Arial" w:eastAsia="Arial" w:cs="Arial"/>
                <w:color w:val="000000"/>
                <w:sz w:val="20"/>
              </w:rPr>
              <w:t>Record expenditure on wound consumables - to be provided on request.</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Community Service Support Minimum Data Set (VCSS 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VCSS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VCSS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HACC PYP Wound consumables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HACC PYP Fee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September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8"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Ageing, Aged and Home Care 13223 HACC-PYP Health Supports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